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498EB" w14:textId="7C48048F" w:rsidR="009758E6" w:rsidRPr="009758E6" w:rsidRDefault="00980371" w:rsidP="009758E6">
      <w:pPr>
        <w:pStyle w:val="Sinespaciado"/>
        <w:jc w:val="center"/>
        <w:rPr>
          <w:rFonts w:ascii="Times New Roman" w:hAnsi="Times New Roman" w:cs="Times New Roman"/>
          <w:b/>
          <w:bCs/>
          <w:sz w:val="24"/>
          <w:szCs w:val="24"/>
        </w:rPr>
      </w:pPr>
      <w:r w:rsidRPr="009758E6">
        <w:rPr>
          <w:rFonts w:ascii="Times New Roman" w:hAnsi="Times New Roman" w:cs="Times New Roman"/>
          <w:b/>
          <w:bCs/>
          <w:sz w:val="24"/>
          <w:szCs w:val="24"/>
        </w:rPr>
        <w:t>Política monetaria, crecimiento, deuda y mercado de valores en Estados Unidos</w:t>
      </w:r>
    </w:p>
    <w:p w14:paraId="2B664588" w14:textId="6CF60B62" w:rsidR="00956CDC" w:rsidRDefault="009758E6" w:rsidP="009758E6">
      <w:pPr>
        <w:pStyle w:val="Sinespaciado"/>
        <w:jc w:val="center"/>
        <w:rPr>
          <w:rFonts w:ascii="Times New Roman" w:hAnsi="Times New Roman" w:cs="Times New Roman"/>
          <w:b/>
          <w:bCs/>
          <w:sz w:val="24"/>
          <w:szCs w:val="24"/>
        </w:rPr>
      </w:pPr>
      <w:r w:rsidRPr="009758E6">
        <w:rPr>
          <w:rFonts w:ascii="Times New Roman" w:hAnsi="Times New Roman" w:cs="Times New Roman"/>
          <w:b/>
          <w:bCs/>
          <w:sz w:val="24"/>
          <w:szCs w:val="24"/>
        </w:rPr>
        <w:t>2000-2020</w:t>
      </w:r>
      <w:r w:rsidR="00EF21D7">
        <w:rPr>
          <w:rFonts w:ascii="Times New Roman" w:hAnsi="Times New Roman" w:cs="Times New Roman"/>
          <w:b/>
          <w:bCs/>
          <w:sz w:val="24"/>
          <w:szCs w:val="24"/>
        </w:rPr>
        <w:t xml:space="preserve">: lecciones para la era </w:t>
      </w:r>
      <w:proofErr w:type="spellStart"/>
      <w:r w:rsidR="00EF21D7">
        <w:rPr>
          <w:rFonts w:ascii="Times New Roman" w:hAnsi="Times New Roman" w:cs="Times New Roman"/>
          <w:b/>
          <w:bCs/>
          <w:sz w:val="24"/>
          <w:szCs w:val="24"/>
        </w:rPr>
        <w:t>post-pandemia</w:t>
      </w:r>
      <w:proofErr w:type="spellEnd"/>
      <w:r w:rsidR="00EF21D7">
        <w:rPr>
          <w:rFonts w:ascii="Times New Roman" w:hAnsi="Times New Roman" w:cs="Times New Roman"/>
          <w:b/>
          <w:bCs/>
          <w:sz w:val="24"/>
          <w:szCs w:val="24"/>
        </w:rPr>
        <w:t xml:space="preserve"> Covid-19.</w:t>
      </w:r>
    </w:p>
    <w:p w14:paraId="72A8824E" w14:textId="35517C7F" w:rsidR="009758E6" w:rsidRDefault="009758E6" w:rsidP="009758E6">
      <w:pPr>
        <w:pStyle w:val="Sinespaciado"/>
        <w:jc w:val="center"/>
        <w:rPr>
          <w:rFonts w:ascii="Times New Roman" w:hAnsi="Times New Roman" w:cs="Times New Roman"/>
          <w:b/>
          <w:bCs/>
          <w:sz w:val="24"/>
          <w:szCs w:val="24"/>
        </w:rPr>
      </w:pPr>
    </w:p>
    <w:p w14:paraId="1221E044" w14:textId="3773FAD0" w:rsidR="00FA27A2" w:rsidRDefault="00FA27A2" w:rsidP="009758E6">
      <w:pPr>
        <w:pStyle w:val="Sinespaciado"/>
        <w:jc w:val="center"/>
        <w:rPr>
          <w:rFonts w:ascii="Times New Roman" w:hAnsi="Times New Roman" w:cs="Times New Roman"/>
          <w:sz w:val="24"/>
          <w:szCs w:val="24"/>
        </w:rPr>
      </w:pPr>
      <w:r w:rsidRPr="00FA27A2">
        <w:rPr>
          <w:rFonts w:ascii="Times New Roman" w:hAnsi="Times New Roman" w:cs="Times New Roman"/>
          <w:b/>
          <w:bCs/>
          <w:sz w:val="24"/>
          <w:szCs w:val="24"/>
        </w:rPr>
        <w:t>Verónica Cerezo García, Heri O</w:t>
      </w:r>
      <w:r>
        <w:rPr>
          <w:rFonts w:ascii="Times New Roman" w:hAnsi="Times New Roman" w:cs="Times New Roman"/>
          <w:b/>
          <w:bCs/>
          <w:sz w:val="24"/>
          <w:szCs w:val="24"/>
        </w:rPr>
        <w:t xml:space="preserve">scar Landa Díaz e Ignacio </w:t>
      </w:r>
      <w:proofErr w:type="spellStart"/>
      <w:r>
        <w:rPr>
          <w:rFonts w:ascii="Times New Roman" w:hAnsi="Times New Roman" w:cs="Times New Roman"/>
          <w:b/>
          <w:bCs/>
          <w:sz w:val="24"/>
          <w:szCs w:val="24"/>
        </w:rPr>
        <w:t>Perrotini</w:t>
      </w:r>
      <w:proofErr w:type="spellEnd"/>
      <w:r>
        <w:rPr>
          <w:rFonts w:ascii="Times New Roman" w:hAnsi="Times New Roman" w:cs="Times New Roman"/>
          <w:b/>
          <w:bCs/>
          <w:sz w:val="24"/>
          <w:szCs w:val="24"/>
        </w:rPr>
        <w:t xml:space="preserve"> Hernández</w:t>
      </w:r>
      <w:r w:rsidR="00137E43">
        <w:rPr>
          <w:rStyle w:val="Refdenotaalpie"/>
          <w:rFonts w:ascii="Times New Roman" w:hAnsi="Times New Roman" w:cs="Times New Roman"/>
          <w:b/>
          <w:bCs/>
          <w:sz w:val="24"/>
          <w:szCs w:val="24"/>
        </w:rPr>
        <w:footnoteReference w:id="1"/>
      </w:r>
    </w:p>
    <w:p w14:paraId="77A322A4" w14:textId="77777777" w:rsidR="00FA27A2" w:rsidRPr="00FA27A2" w:rsidRDefault="00FA27A2" w:rsidP="00FA27A2">
      <w:pPr>
        <w:pStyle w:val="Sinespaciado"/>
        <w:jc w:val="both"/>
        <w:rPr>
          <w:rFonts w:ascii="Times New Roman" w:hAnsi="Times New Roman" w:cs="Times New Roman"/>
          <w:sz w:val="24"/>
          <w:szCs w:val="24"/>
        </w:rPr>
      </w:pPr>
    </w:p>
    <w:p w14:paraId="5D0B51AC" w14:textId="6A873B34" w:rsidR="00A97CDA" w:rsidRDefault="00A97CDA" w:rsidP="0004051D">
      <w:pPr>
        <w:pStyle w:val="Sinespaciado"/>
        <w:ind w:left="2832"/>
        <w:jc w:val="both"/>
        <w:rPr>
          <w:rFonts w:ascii="Times New Roman" w:hAnsi="Times New Roman" w:cs="Times New Roman"/>
          <w:sz w:val="24"/>
          <w:szCs w:val="24"/>
          <w:lang w:val="en-GB"/>
        </w:rPr>
      </w:pPr>
      <w:r w:rsidRPr="00A97CDA">
        <w:rPr>
          <w:rFonts w:ascii="Times New Roman" w:hAnsi="Times New Roman" w:cs="Times New Roman"/>
          <w:i/>
          <w:iCs/>
          <w:sz w:val="24"/>
          <w:szCs w:val="24"/>
          <w:lang w:val="en-GB"/>
        </w:rPr>
        <w:t>After the rate of interest has fallen to a certain level, liquidity</w:t>
      </w:r>
      <w:r>
        <w:rPr>
          <w:rFonts w:ascii="Times New Roman" w:hAnsi="Times New Roman" w:cs="Times New Roman"/>
          <w:i/>
          <w:iCs/>
          <w:sz w:val="24"/>
          <w:szCs w:val="24"/>
          <w:lang w:val="en-GB"/>
        </w:rPr>
        <w:t>-</w:t>
      </w:r>
      <w:r w:rsidRPr="00A97CDA">
        <w:rPr>
          <w:rFonts w:ascii="Times New Roman" w:hAnsi="Times New Roman" w:cs="Times New Roman"/>
          <w:i/>
          <w:iCs/>
          <w:sz w:val="24"/>
          <w:szCs w:val="24"/>
          <w:lang w:val="en-GB"/>
        </w:rPr>
        <w:t>preference</w:t>
      </w:r>
      <w:r>
        <w:rPr>
          <w:rFonts w:ascii="Times New Roman" w:hAnsi="Times New Roman" w:cs="Times New Roman"/>
          <w:i/>
          <w:iCs/>
          <w:sz w:val="24"/>
          <w:szCs w:val="24"/>
          <w:lang w:val="en-GB"/>
        </w:rPr>
        <w:t xml:space="preserve"> may become virtually absolute […] In this event, the monetary authority would have lost effective control over the rate of interest […] owing to the unwillingness of most monetary authorities to deal boldly in debts of long term, there has not been much opportunity for a test. Moreover, if such a situation were to arise, it would mean that the public authority itself could borrow through the banking system on an unlimited scale at a nominal rate of interest.</w:t>
      </w:r>
    </w:p>
    <w:p w14:paraId="26B8CF3D" w14:textId="602CA2B5" w:rsidR="00A97CDA" w:rsidRPr="00EF21D7" w:rsidRDefault="00A97CDA" w:rsidP="00980371">
      <w:pPr>
        <w:pStyle w:val="Sinespaciado"/>
        <w:ind w:left="4248"/>
        <w:jc w:val="both"/>
        <w:rPr>
          <w:rFonts w:ascii="Times New Roman" w:hAnsi="Times New Roman" w:cs="Times New Roman"/>
          <w:sz w:val="24"/>
          <w:szCs w:val="24"/>
        </w:rPr>
      </w:pPr>
      <w:r w:rsidRPr="00EF21D7">
        <w:rPr>
          <w:rFonts w:ascii="Times New Roman" w:hAnsi="Times New Roman" w:cs="Times New Roman"/>
          <w:sz w:val="24"/>
          <w:szCs w:val="24"/>
        </w:rPr>
        <w:t>J.M. Keynes (1936 [1964], p. 207).</w:t>
      </w:r>
    </w:p>
    <w:p w14:paraId="34B4E59F" w14:textId="7D3A1E79" w:rsidR="00224F43" w:rsidRPr="00EF21D7" w:rsidRDefault="00224F43" w:rsidP="00FA27A2">
      <w:pPr>
        <w:pStyle w:val="Sinespaciado"/>
        <w:jc w:val="both"/>
        <w:rPr>
          <w:rFonts w:ascii="Times New Roman" w:hAnsi="Times New Roman" w:cs="Times New Roman"/>
          <w:b/>
          <w:bCs/>
          <w:sz w:val="24"/>
          <w:szCs w:val="24"/>
        </w:rPr>
      </w:pPr>
      <w:r w:rsidRPr="00EF21D7">
        <w:rPr>
          <w:rFonts w:ascii="Times New Roman" w:hAnsi="Times New Roman" w:cs="Times New Roman"/>
          <w:b/>
          <w:bCs/>
          <w:sz w:val="24"/>
          <w:szCs w:val="24"/>
        </w:rPr>
        <w:t xml:space="preserve">Resumen </w:t>
      </w:r>
    </w:p>
    <w:p w14:paraId="592100AE" w14:textId="7F2A483E" w:rsidR="00224F43" w:rsidRPr="00FA27A2" w:rsidRDefault="00224F43" w:rsidP="00FA27A2">
      <w:pPr>
        <w:pStyle w:val="Sinespaciado"/>
        <w:jc w:val="both"/>
        <w:rPr>
          <w:rFonts w:ascii="Times New Roman" w:hAnsi="Times New Roman" w:cs="Times New Roman"/>
          <w:sz w:val="24"/>
          <w:szCs w:val="24"/>
        </w:rPr>
      </w:pPr>
      <w:bookmarkStart w:id="0" w:name="_Hlk70273272"/>
      <w:r w:rsidRPr="00FA27A2">
        <w:rPr>
          <w:rFonts w:ascii="Times New Roman" w:hAnsi="Times New Roman" w:cs="Times New Roman"/>
          <w:sz w:val="24"/>
          <w:szCs w:val="24"/>
        </w:rPr>
        <w:t>El objetivo de este artículo es analizar la relación entre la política monetaria de la Fed, la deuda pública de Estados Unidos y el mercado de valores durante el periodo 2000-2020. Estimamos funciones de reacción ante variaciones de la deuda para evaluar: el efecto sobre el desempeño bursátil; el impacto sobre la dinámica del PIB; el efecto sobre la estabilidad de precios y las implicaciones para la tasa de interés.  Nuestra hipótesis es que el principal efecto, asociado a la expansión de la deuda, es sobre el mercado de valores, la respuesta del índice bursátil ante un incremento de la deuda pública es significativamente elástica. Este resultado es consistente con la hipótesis de que la compra de títulos del gobierno que realiza la Fed (incrementos en la hoja de balance) tiene como principal objetivo aumentar la liquidez para morigerar la inestabilidad del sistema financiero resultante de las crisis de 2008 y 2020.</w:t>
      </w:r>
    </w:p>
    <w:bookmarkEnd w:id="0"/>
    <w:p w14:paraId="3D835189" w14:textId="54D3FE0F" w:rsidR="00980371" w:rsidRPr="00FA27A2" w:rsidRDefault="00980371" w:rsidP="00FA27A2">
      <w:pPr>
        <w:pStyle w:val="Sinespaciado"/>
        <w:jc w:val="both"/>
        <w:rPr>
          <w:rFonts w:ascii="Times New Roman" w:hAnsi="Times New Roman" w:cs="Times New Roman"/>
          <w:b/>
          <w:bCs/>
          <w:sz w:val="24"/>
          <w:szCs w:val="24"/>
        </w:rPr>
      </w:pPr>
      <w:r w:rsidRPr="00FA27A2">
        <w:rPr>
          <w:rFonts w:ascii="Times New Roman" w:hAnsi="Times New Roman" w:cs="Times New Roman"/>
          <w:b/>
          <w:bCs/>
          <w:sz w:val="24"/>
          <w:szCs w:val="24"/>
        </w:rPr>
        <w:t>Palabras clave:</w:t>
      </w:r>
      <w:r w:rsidR="00CA3EA8">
        <w:rPr>
          <w:rFonts w:ascii="Times New Roman" w:hAnsi="Times New Roman" w:cs="Times New Roman"/>
          <w:b/>
          <w:bCs/>
          <w:sz w:val="24"/>
          <w:szCs w:val="24"/>
        </w:rPr>
        <w:t xml:space="preserve"> Inflación, crecimiento, deuda, mercado de valores, Estados Unidos.</w:t>
      </w:r>
    </w:p>
    <w:p w14:paraId="190B519D" w14:textId="7EEE5AB6" w:rsidR="00980371" w:rsidRPr="00FA27A2" w:rsidRDefault="00980371" w:rsidP="00FA27A2">
      <w:pPr>
        <w:pStyle w:val="Sinespaciado"/>
        <w:jc w:val="both"/>
        <w:rPr>
          <w:rFonts w:ascii="Times New Roman" w:hAnsi="Times New Roman" w:cs="Times New Roman"/>
          <w:b/>
          <w:bCs/>
          <w:sz w:val="24"/>
          <w:szCs w:val="24"/>
        </w:rPr>
      </w:pPr>
      <w:r w:rsidRPr="00FA27A2">
        <w:rPr>
          <w:rFonts w:ascii="Times New Roman" w:hAnsi="Times New Roman" w:cs="Times New Roman"/>
          <w:b/>
          <w:bCs/>
          <w:sz w:val="24"/>
          <w:szCs w:val="24"/>
        </w:rPr>
        <w:t>Clasificación JEL:</w:t>
      </w:r>
      <w:r w:rsidR="00CA3EA8">
        <w:rPr>
          <w:rFonts w:ascii="Times New Roman" w:hAnsi="Times New Roman" w:cs="Times New Roman"/>
          <w:b/>
          <w:bCs/>
          <w:sz w:val="24"/>
          <w:szCs w:val="24"/>
        </w:rPr>
        <w:t xml:space="preserve"> </w:t>
      </w:r>
      <w:bookmarkStart w:id="1" w:name="_Hlk70272855"/>
      <w:r w:rsidR="00CA3EA8" w:rsidRPr="00CA3EA8">
        <w:rPr>
          <w:rFonts w:ascii="Times New Roman" w:hAnsi="Times New Roman" w:cs="Times New Roman"/>
          <w:sz w:val="24"/>
          <w:szCs w:val="24"/>
        </w:rPr>
        <w:t xml:space="preserve">E31, </w:t>
      </w:r>
      <w:r w:rsidR="008C7FDC">
        <w:rPr>
          <w:rFonts w:ascii="Times New Roman" w:hAnsi="Times New Roman" w:cs="Times New Roman"/>
          <w:sz w:val="24"/>
          <w:szCs w:val="24"/>
        </w:rPr>
        <w:t>E52, H63, N12.</w:t>
      </w:r>
      <w:bookmarkEnd w:id="1"/>
    </w:p>
    <w:p w14:paraId="45593152" w14:textId="77777777" w:rsidR="00FA27A2" w:rsidRPr="00FA27A2" w:rsidRDefault="00FA27A2" w:rsidP="00FA27A2">
      <w:pPr>
        <w:pStyle w:val="Sinespaciado"/>
        <w:jc w:val="both"/>
        <w:rPr>
          <w:rFonts w:ascii="Times New Roman" w:hAnsi="Times New Roman" w:cs="Times New Roman"/>
          <w:sz w:val="24"/>
          <w:szCs w:val="24"/>
        </w:rPr>
      </w:pPr>
    </w:p>
    <w:p w14:paraId="2129A240" w14:textId="4B9BB6D4" w:rsidR="00FA27A2" w:rsidRPr="00843D4D" w:rsidRDefault="00843D4D" w:rsidP="00FA27A2">
      <w:pPr>
        <w:pStyle w:val="Sinespaciado"/>
        <w:jc w:val="center"/>
        <w:rPr>
          <w:rFonts w:ascii="Times New Roman" w:hAnsi="Times New Roman" w:cs="Times New Roman"/>
          <w:b/>
          <w:bCs/>
          <w:sz w:val="24"/>
          <w:szCs w:val="24"/>
          <w:lang w:val="en-GB"/>
        </w:rPr>
      </w:pPr>
      <w:r w:rsidRPr="00843D4D">
        <w:rPr>
          <w:rFonts w:ascii="Times New Roman" w:hAnsi="Times New Roman" w:cs="Times New Roman"/>
          <w:b/>
          <w:bCs/>
          <w:sz w:val="24"/>
          <w:szCs w:val="24"/>
          <w:lang w:val="en-GB"/>
        </w:rPr>
        <w:t>M</w:t>
      </w:r>
      <w:r w:rsidR="00FA27A2" w:rsidRPr="00843D4D">
        <w:rPr>
          <w:rFonts w:ascii="Times New Roman" w:hAnsi="Times New Roman" w:cs="Times New Roman"/>
          <w:b/>
          <w:bCs/>
          <w:sz w:val="24"/>
          <w:szCs w:val="24"/>
          <w:lang w:val="en-GB"/>
        </w:rPr>
        <w:t>onetar</w:t>
      </w:r>
      <w:r w:rsidRPr="00843D4D">
        <w:rPr>
          <w:rFonts w:ascii="Times New Roman" w:hAnsi="Times New Roman" w:cs="Times New Roman"/>
          <w:b/>
          <w:bCs/>
          <w:sz w:val="24"/>
          <w:szCs w:val="24"/>
          <w:lang w:val="en-GB"/>
        </w:rPr>
        <w:t>y Policy</w:t>
      </w:r>
      <w:r w:rsidR="00FA27A2" w:rsidRPr="00843D4D">
        <w:rPr>
          <w:rFonts w:ascii="Times New Roman" w:hAnsi="Times New Roman" w:cs="Times New Roman"/>
          <w:b/>
          <w:bCs/>
          <w:sz w:val="24"/>
          <w:szCs w:val="24"/>
          <w:lang w:val="en-GB"/>
        </w:rPr>
        <w:t xml:space="preserve">, </w:t>
      </w:r>
      <w:r w:rsidRPr="00843D4D">
        <w:rPr>
          <w:rFonts w:ascii="Times New Roman" w:hAnsi="Times New Roman" w:cs="Times New Roman"/>
          <w:b/>
          <w:bCs/>
          <w:sz w:val="24"/>
          <w:szCs w:val="24"/>
          <w:lang w:val="en-GB"/>
        </w:rPr>
        <w:t>Growth</w:t>
      </w:r>
      <w:r w:rsidR="00FA27A2" w:rsidRPr="00843D4D">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and </w:t>
      </w:r>
      <w:r w:rsidRPr="00843D4D">
        <w:rPr>
          <w:rFonts w:ascii="Times New Roman" w:hAnsi="Times New Roman" w:cs="Times New Roman"/>
          <w:b/>
          <w:bCs/>
          <w:sz w:val="24"/>
          <w:szCs w:val="24"/>
          <w:lang w:val="en-GB"/>
        </w:rPr>
        <w:t>D</w:t>
      </w:r>
      <w:r w:rsidR="00FA27A2" w:rsidRPr="00843D4D">
        <w:rPr>
          <w:rFonts w:ascii="Times New Roman" w:hAnsi="Times New Roman" w:cs="Times New Roman"/>
          <w:b/>
          <w:bCs/>
          <w:sz w:val="24"/>
          <w:szCs w:val="24"/>
          <w:lang w:val="en-GB"/>
        </w:rPr>
        <w:t>e</w:t>
      </w:r>
      <w:r w:rsidRPr="00843D4D">
        <w:rPr>
          <w:rFonts w:ascii="Times New Roman" w:hAnsi="Times New Roman" w:cs="Times New Roman"/>
          <w:b/>
          <w:bCs/>
          <w:sz w:val="24"/>
          <w:szCs w:val="24"/>
          <w:lang w:val="en-GB"/>
        </w:rPr>
        <w:t>bt</w:t>
      </w:r>
      <w:r w:rsidR="00FA27A2" w:rsidRPr="00843D4D">
        <w:rPr>
          <w:rFonts w:ascii="Times New Roman" w:hAnsi="Times New Roman" w:cs="Times New Roman"/>
          <w:b/>
          <w:bCs/>
          <w:sz w:val="24"/>
          <w:szCs w:val="24"/>
          <w:lang w:val="en-GB"/>
        </w:rPr>
        <w:t xml:space="preserve"> </w:t>
      </w:r>
      <w:r w:rsidRPr="00843D4D">
        <w:rPr>
          <w:rFonts w:ascii="Times New Roman" w:hAnsi="Times New Roman" w:cs="Times New Roman"/>
          <w:b/>
          <w:bCs/>
          <w:sz w:val="24"/>
          <w:szCs w:val="24"/>
          <w:lang w:val="en-GB"/>
        </w:rPr>
        <w:t>and</w:t>
      </w:r>
      <w:r w:rsidR="00FA27A2" w:rsidRPr="00843D4D">
        <w:rPr>
          <w:rFonts w:ascii="Times New Roman" w:hAnsi="Times New Roman" w:cs="Times New Roman"/>
          <w:b/>
          <w:bCs/>
          <w:sz w:val="24"/>
          <w:szCs w:val="24"/>
          <w:lang w:val="en-GB"/>
        </w:rPr>
        <w:t xml:space="preserve"> </w:t>
      </w:r>
      <w:r w:rsidRPr="00843D4D">
        <w:rPr>
          <w:rFonts w:ascii="Times New Roman" w:hAnsi="Times New Roman" w:cs="Times New Roman"/>
          <w:b/>
          <w:bCs/>
          <w:sz w:val="24"/>
          <w:szCs w:val="24"/>
          <w:lang w:val="en-GB"/>
        </w:rPr>
        <w:t>the Stock Mark</w:t>
      </w:r>
      <w:r>
        <w:rPr>
          <w:rFonts w:ascii="Times New Roman" w:hAnsi="Times New Roman" w:cs="Times New Roman"/>
          <w:b/>
          <w:bCs/>
          <w:sz w:val="24"/>
          <w:szCs w:val="24"/>
          <w:lang w:val="en-GB"/>
        </w:rPr>
        <w:t>et i</w:t>
      </w:r>
      <w:r w:rsidR="00FA27A2" w:rsidRPr="00843D4D">
        <w:rPr>
          <w:rFonts w:ascii="Times New Roman" w:hAnsi="Times New Roman" w:cs="Times New Roman"/>
          <w:b/>
          <w:bCs/>
          <w:sz w:val="24"/>
          <w:szCs w:val="24"/>
          <w:lang w:val="en-GB"/>
        </w:rPr>
        <w:t xml:space="preserve">n </w:t>
      </w:r>
      <w:r>
        <w:rPr>
          <w:rFonts w:ascii="Times New Roman" w:hAnsi="Times New Roman" w:cs="Times New Roman"/>
          <w:b/>
          <w:bCs/>
          <w:sz w:val="24"/>
          <w:szCs w:val="24"/>
          <w:lang w:val="en-GB"/>
        </w:rPr>
        <w:t>the USA,</w:t>
      </w:r>
    </w:p>
    <w:p w14:paraId="554243F8" w14:textId="39B0CF5C" w:rsidR="00FA27A2" w:rsidRPr="00EF21D7" w:rsidRDefault="00FA27A2" w:rsidP="00FA27A2">
      <w:pPr>
        <w:pStyle w:val="Sinespaciado"/>
        <w:jc w:val="center"/>
        <w:rPr>
          <w:rFonts w:ascii="Times New Roman" w:hAnsi="Times New Roman" w:cs="Times New Roman"/>
          <w:b/>
          <w:bCs/>
          <w:sz w:val="24"/>
          <w:szCs w:val="24"/>
          <w:lang w:val="en-GB"/>
        </w:rPr>
      </w:pPr>
      <w:r w:rsidRPr="00EF21D7">
        <w:rPr>
          <w:rFonts w:ascii="Times New Roman" w:hAnsi="Times New Roman" w:cs="Times New Roman"/>
          <w:b/>
          <w:bCs/>
          <w:sz w:val="24"/>
          <w:szCs w:val="24"/>
          <w:lang w:val="en-GB"/>
        </w:rPr>
        <w:t>2000-2020</w:t>
      </w:r>
      <w:r w:rsidR="00843D4D" w:rsidRPr="00EF21D7">
        <w:rPr>
          <w:rFonts w:ascii="Times New Roman" w:hAnsi="Times New Roman" w:cs="Times New Roman"/>
          <w:b/>
          <w:bCs/>
          <w:sz w:val="24"/>
          <w:szCs w:val="24"/>
          <w:lang w:val="en-GB"/>
        </w:rPr>
        <w:t>: An</w:t>
      </w:r>
      <w:r w:rsidRPr="00EF21D7">
        <w:rPr>
          <w:rFonts w:ascii="Times New Roman" w:hAnsi="Times New Roman" w:cs="Times New Roman"/>
          <w:b/>
          <w:bCs/>
          <w:sz w:val="24"/>
          <w:szCs w:val="24"/>
          <w:lang w:val="en-GB"/>
        </w:rPr>
        <w:t xml:space="preserve"> ARDL</w:t>
      </w:r>
      <w:r w:rsidR="00843D4D" w:rsidRPr="00EF21D7">
        <w:rPr>
          <w:rFonts w:ascii="Times New Roman" w:hAnsi="Times New Roman" w:cs="Times New Roman"/>
          <w:b/>
          <w:bCs/>
          <w:sz w:val="24"/>
          <w:szCs w:val="24"/>
          <w:lang w:val="en-GB"/>
        </w:rPr>
        <w:t xml:space="preserve"> Model</w:t>
      </w:r>
      <w:r w:rsidRPr="00EF21D7">
        <w:rPr>
          <w:rFonts w:ascii="Times New Roman" w:hAnsi="Times New Roman" w:cs="Times New Roman"/>
          <w:b/>
          <w:bCs/>
          <w:sz w:val="24"/>
          <w:szCs w:val="24"/>
          <w:lang w:val="en-GB"/>
        </w:rPr>
        <w:t>.</w:t>
      </w:r>
    </w:p>
    <w:p w14:paraId="7C345770" w14:textId="77777777" w:rsidR="00FA27A2" w:rsidRDefault="00FA27A2" w:rsidP="00FA27A2">
      <w:pPr>
        <w:pStyle w:val="Sinespaciado"/>
        <w:rPr>
          <w:lang w:val="en-GB"/>
        </w:rPr>
      </w:pPr>
    </w:p>
    <w:p w14:paraId="46C6A250" w14:textId="57BCAC8C" w:rsidR="00224F43" w:rsidRPr="00FA27A2" w:rsidRDefault="00224F43" w:rsidP="00FA27A2">
      <w:pPr>
        <w:pStyle w:val="Sinespaciado"/>
        <w:jc w:val="both"/>
        <w:rPr>
          <w:rFonts w:ascii="Times New Roman" w:hAnsi="Times New Roman" w:cs="Times New Roman"/>
          <w:b/>
          <w:bCs/>
          <w:sz w:val="24"/>
          <w:szCs w:val="24"/>
          <w:lang w:val="en-GB"/>
        </w:rPr>
      </w:pPr>
      <w:r w:rsidRPr="00FA27A2">
        <w:rPr>
          <w:rFonts w:ascii="Times New Roman" w:hAnsi="Times New Roman" w:cs="Times New Roman"/>
          <w:b/>
          <w:bCs/>
          <w:sz w:val="24"/>
          <w:szCs w:val="24"/>
          <w:lang w:val="en-GB"/>
        </w:rPr>
        <w:t>Abstract</w:t>
      </w:r>
    </w:p>
    <w:p w14:paraId="2F97F144" w14:textId="08FBF221" w:rsidR="00224F43" w:rsidRPr="00FA27A2" w:rsidRDefault="00224F43" w:rsidP="00FA27A2">
      <w:pPr>
        <w:pStyle w:val="Sinespaciado"/>
        <w:jc w:val="both"/>
        <w:rPr>
          <w:rFonts w:ascii="Times New Roman" w:hAnsi="Times New Roman" w:cs="Times New Roman"/>
          <w:sz w:val="24"/>
          <w:szCs w:val="24"/>
          <w:lang w:val="en-GB"/>
        </w:rPr>
      </w:pPr>
      <w:r w:rsidRPr="00FA27A2">
        <w:rPr>
          <w:rFonts w:ascii="Times New Roman" w:hAnsi="Times New Roman" w:cs="Times New Roman"/>
          <w:sz w:val="24"/>
          <w:szCs w:val="24"/>
          <w:lang w:val="en-GB"/>
        </w:rPr>
        <w:t>The aim of this paper is look at the relationship between the Fed’s monetary policy, the USA’s debt, and the stock market. Reaction functions to assess the effect of debt variations on the stock market, GDP, price stability and the rate of interest are elaborated. By way of hypothesis, it is argued that the main effect, associated with debt expansion, goes to the stock market as its main index is significantly elastic to public debt increments. This result is consistent with the Fed interventions to improve liquidity with a view to stabilize the financial system after the 2007/2008 financial crisis and the economic impact of the Covid-19 pandemic.</w:t>
      </w:r>
    </w:p>
    <w:p w14:paraId="448495AF" w14:textId="23890717" w:rsidR="00980371" w:rsidRPr="00FA27A2" w:rsidRDefault="00980371" w:rsidP="00FA27A2">
      <w:pPr>
        <w:pStyle w:val="Sinespaciado"/>
        <w:jc w:val="both"/>
        <w:rPr>
          <w:rFonts w:ascii="Times New Roman" w:hAnsi="Times New Roman" w:cs="Times New Roman"/>
          <w:b/>
          <w:bCs/>
          <w:sz w:val="24"/>
          <w:szCs w:val="24"/>
          <w:lang w:val="en-GB"/>
        </w:rPr>
      </w:pPr>
      <w:r w:rsidRPr="00FA27A2">
        <w:rPr>
          <w:rFonts w:ascii="Times New Roman" w:hAnsi="Times New Roman" w:cs="Times New Roman"/>
          <w:b/>
          <w:bCs/>
          <w:sz w:val="24"/>
          <w:szCs w:val="24"/>
          <w:lang w:val="en-GB"/>
        </w:rPr>
        <w:t>Key words:</w:t>
      </w:r>
      <w:r w:rsidR="00CA3EA8">
        <w:rPr>
          <w:rFonts w:ascii="Times New Roman" w:hAnsi="Times New Roman" w:cs="Times New Roman"/>
          <w:b/>
          <w:bCs/>
          <w:sz w:val="24"/>
          <w:szCs w:val="24"/>
          <w:lang w:val="en-GB"/>
        </w:rPr>
        <w:t xml:space="preserve"> Inflation, growth, debt, stock market, United States.</w:t>
      </w:r>
    </w:p>
    <w:p w14:paraId="41F36201" w14:textId="2CE57FEA" w:rsidR="00FA27A2" w:rsidRPr="008C7FDC" w:rsidRDefault="00980371" w:rsidP="00FA27A2">
      <w:pPr>
        <w:pStyle w:val="Sinespaciado"/>
        <w:rPr>
          <w:rFonts w:ascii="Times New Roman" w:hAnsi="Times New Roman" w:cs="Times New Roman"/>
          <w:b/>
          <w:bCs/>
          <w:sz w:val="24"/>
          <w:szCs w:val="24"/>
        </w:rPr>
      </w:pPr>
      <w:r w:rsidRPr="008C7FDC">
        <w:rPr>
          <w:rFonts w:ascii="Times New Roman" w:hAnsi="Times New Roman" w:cs="Times New Roman"/>
          <w:b/>
          <w:bCs/>
          <w:sz w:val="24"/>
          <w:szCs w:val="24"/>
        </w:rPr>
        <w:lastRenderedPageBreak/>
        <w:t>JEL Classification:</w:t>
      </w:r>
      <w:r w:rsidR="008C7FDC" w:rsidRPr="008C7FDC">
        <w:rPr>
          <w:rFonts w:ascii="Times New Roman" w:hAnsi="Times New Roman" w:cs="Times New Roman"/>
          <w:b/>
          <w:bCs/>
          <w:sz w:val="24"/>
          <w:szCs w:val="24"/>
        </w:rPr>
        <w:t xml:space="preserve"> </w:t>
      </w:r>
      <w:r w:rsidR="008C7FDC" w:rsidRPr="00CA3EA8">
        <w:rPr>
          <w:rFonts w:ascii="Times New Roman" w:hAnsi="Times New Roman" w:cs="Times New Roman"/>
          <w:sz w:val="24"/>
          <w:szCs w:val="24"/>
        </w:rPr>
        <w:t xml:space="preserve">E31, </w:t>
      </w:r>
      <w:r w:rsidR="008C7FDC">
        <w:rPr>
          <w:rFonts w:ascii="Times New Roman" w:hAnsi="Times New Roman" w:cs="Times New Roman"/>
          <w:sz w:val="24"/>
          <w:szCs w:val="24"/>
        </w:rPr>
        <w:t>E52, H63, N12.</w:t>
      </w:r>
    </w:p>
    <w:p w14:paraId="7E3E6395" w14:textId="327DE02C" w:rsidR="00A97CDA" w:rsidRPr="00EF21D7" w:rsidRDefault="00A97CDA" w:rsidP="00FA27A2">
      <w:pPr>
        <w:tabs>
          <w:tab w:val="left" w:pos="2474"/>
        </w:tabs>
        <w:spacing w:line="240" w:lineRule="auto"/>
        <w:jc w:val="both"/>
        <w:rPr>
          <w:rFonts w:ascii="Times New Roman" w:hAnsi="Times New Roman" w:cs="Times New Roman"/>
          <w:b/>
          <w:bCs/>
          <w:sz w:val="24"/>
          <w:szCs w:val="24"/>
        </w:rPr>
      </w:pPr>
      <w:r w:rsidRPr="00EF21D7">
        <w:rPr>
          <w:rFonts w:ascii="Times New Roman" w:hAnsi="Times New Roman" w:cs="Times New Roman"/>
          <w:b/>
          <w:bCs/>
          <w:sz w:val="24"/>
          <w:szCs w:val="24"/>
        </w:rPr>
        <w:t>Introducción</w:t>
      </w:r>
      <w:r w:rsidR="006E1E5D" w:rsidRPr="00EF21D7">
        <w:rPr>
          <w:rFonts w:ascii="Times New Roman" w:hAnsi="Times New Roman" w:cs="Times New Roman"/>
          <w:b/>
          <w:bCs/>
          <w:sz w:val="24"/>
          <w:szCs w:val="24"/>
        </w:rPr>
        <w:tab/>
      </w:r>
    </w:p>
    <w:p w14:paraId="1D60FB82" w14:textId="77777777" w:rsidR="00C53F72" w:rsidRDefault="00CA4FE6" w:rsidP="00A97CDA">
      <w:pPr>
        <w:spacing w:line="360" w:lineRule="auto"/>
        <w:jc w:val="both"/>
        <w:rPr>
          <w:rFonts w:ascii="Times New Roman" w:hAnsi="Times New Roman" w:cs="Times New Roman"/>
          <w:sz w:val="24"/>
          <w:szCs w:val="24"/>
          <w:bdr w:val="none" w:sz="0" w:space="0" w:color="auto" w:frame="1"/>
          <w:lang w:eastAsia="es-MX"/>
        </w:rPr>
      </w:pPr>
      <w:r>
        <w:rPr>
          <w:rFonts w:ascii="Times New Roman" w:hAnsi="Times New Roman" w:cs="Times New Roman"/>
          <w:sz w:val="24"/>
          <w:szCs w:val="24"/>
        </w:rPr>
        <w:t xml:space="preserve">La cuestión del riesgo de inflación o de deflación </w:t>
      </w:r>
      <w:r w:rsidR="000867DE">
        <w:rPr>
          <w:rFonts w:ascii="Times New Roman" w:hAnsi="Times New Roman" w:cs="Times New Roman"/>
          <w:sz w:val="24"/>
          <w:szCs w:val="24"/>
        </w:rPr>
        <w:t xml:space="preserve">y de </w:t>
      </w:r>
      <w:r w:rsidR="002030E3">
        <w:rPr>
          <w:rFonts w:ascii="Times New Roman" w:hAnsi="Times New Roman" w:cs="Times New Roman"/>
          <w:sz w:val="24"/>
          <w:szCs w:val="24"/>
        </w:rPr>
        <w:t xml:space="preserve">una recuperación económica débil y lenta asociada al peso de la deuda corporativa y </w:t>
      </w:r>
      <w:r w:rsidR="00A734DB">
        <w:rPr>
          <w:rFonts w:ascii="Times New Roman" w:hAnsi="Times New Roman" w:cs="Times New Roman"/>
          <w:sz w:val="24"/>
          <w:szCs w:val="24"/>
        </w:rPr>
        <w:t xml:space="preserve">de </w:t>
      </w:r>
      <w:r w:rsidR="002030E3">
        <w:rPr>
          <w:rFonts w:ascii="Times New Roman" w:hAnsi="Times New Roman" w:cs="Times New Roman"/>
          <w:sz w:val="24"/>
          <w:szCs w:val="24"/>
        </w:rPr>
        <w:t xml:space="preserve">la deuda </w:t>
      </w:r>
      <w:r w:rsidR="00A734DB">
        <w:rPr>
          <w:rFonts w:ascii="Times New Roman" w:hAnsi="Times New Roman" w:cs="Times New Roman"/>
          <w:sz w:val="24"/>
          <w:szCs w:val="24"/>
        </w:rPr>
        <w:t xml:space="preserve">pública </w:t>
      </w:r>
      <w:r w:rsidR="007F6361">
        <w:rPr>
          <w:rFonts w:ascii="Times New Roman" w:hAnsi="Times New Roman" w:cs="Times New Roman"/>
          <w:sz w:val="24"/>
          <w:szCs w:val="24"/>
        </w:rPr>
        <w:t xml:space="preserve">en la era </w:t>
      </w:r>
      <w:proofErr w:type="spellStart"/>
      <w:r w:rsidR="007F6361">
        <w:rPr>
          <w:rFonts w:ascii="Times New Roman" w:hAnsi="Times New Roman" w:cs="Times New Roman"/>
          <w:sz w:val="24"/>
          <w:szCs w:val="24"/>
        </w:rPr>
        <w:t>post-pandemia</w:t>
      </w:r>
      <w:proofErr w:type="spellEnd"/>
      <w:r>
        <w:rPr>
          <w:rFonts w:ascii="Times New Roman" w:hAnsi="Times New Roman" w:cs="Times New Roman"/>
          <w:sz w:val="24"/>
          <w:szCs w:val="24"/>
        </w:rPr>
        <w:t xml:space="preserve"> está</w:t>
      </w:r>
      <w:r w:rsidR="000867DE">
        <w:rPr>
          <w:rFonts w:ascii="Times New Roman" w:hAnsi="Times New Roman" w:cs="Times New Roman"/>
          <w:sz w:val="24"/>
          <w:szCs w:val="24"/>
        </w:rPr>
        <w:t>,</w:t>
      </w:r>
      <w:r>
        <w:rPr>
          <w:rFonts w:ascii="Times New Roman" w:hAnsi="Times New Roman" w:cs="Times New Roman"/>
          <w:sz w:val="24"/>
          <w:szCs w:val="24"/>
        </w:rPr>
        <w:t xml:space="preserve"> </w:t>
      </w:r>
      <w:r w:rsidR="000867DE">
        <w:rPr>
          <w:rFonts w:ascii="Times New Roman" w:hAnsi="Times New Roman" w:cs="Times New Roman"/>
          <w:sz w:val="24"/>
          <w:szCs w:val="24"/>
        </w:rPr>
        <w:t xml:space="preserve">una vez más, </w:t>
      </w:r>
      <w:r>
        <w:rPr>
          <w:rFonts w:ascii="Times New Roman" w:hAnsi="Times New Roman" w:cs="Times New Roman"/>
          <w:sz w:val="24"/>
          <w:szCs w:val="24"/>
        </w:rPr>
        <w:t xml:space="preserve">en el núcleo del debate de la política monetaria </w:t>
      </w:r>
      <w:r w:rsidR="007F6361">
        <w:rPr>
          <w:rFonts w:ascii="Times New Roman" w:hAnsi="Times New Roman" w:cs="Times New Roman"/>
          <w:sz w:val="24"/>
          <w:szCs w:val="24"/>
        </w:rPr>
        <w:t>de varios bancos centrales, entre ellos</w:t>
      </w:r>
      <w:r>
        <w:rPr>
          <w:rFonts w:ascii="Times New Roman" w:hAnsi="Times New Roman" w:cs="Times New Roman"/>
          <w:sz w:val="24"/>
          <w:szCs w:val="24"/>
        </w:rPr>
        <w:t xml:space="preserve"> la Reserva Federal </w:t>
      </w:r>
      <w:r w:rsidR="00D23CF0">
        <w:rPr>
          <w:rFonts w:ascii="Times New Roman" w:hAnsi="Times New Roman" w:cs="Times New Roman"/>
          <w:sz w:val="24"/>
          <w:szCs w:val="24"/>
        </w:rPr>
        <w:t xml:space="preserve">(Fed) </w:t>
      </w:r>
      <w:r>
        <w:rPr>
          <w:rFonts w:ascii="Times New Roman" w:hAnsi="Times New Roman" w:cs="Times New Roman"/>
          <w:sz w:val="24"/>
          <w:szCs w:val="24"/>
        </w:rPr>
        <w:t>de Estados Unidos</w:t>
      </w:r>
      <w:r w:rsidR="007F6361">
        <w:rPr>
          <w:rFonts w:ascii="Times New Roman" w:hAnsi="Times New Roman" w:cs="Times New Roman"/>
          <w:sz w:val="24"/>
          <w:szCs w:val="24"/>
        </w:rPr>
        <w:t>, el Banco de Inglaterra y el Banco Central Europeo</w:t>
      </w:r>
      <w:r w:rsidR="000867DE">
        <w:rPr>
          <w:rFonts w:ascii="Times New Roman" w:hAnsi="Times New Roman" w:cs="Times New Roman"/>
          <w:sz w:val="24"/>
          <w:szCs w:val="24"/>
        </w:rPr>
        <w:t xml:space="preserve"> (</w:t>
      </w:r>
      <w:bookmarkStart w:id="2" w:name="_Hlk69738004"/>
      <w:r w:rsidR="000867DE">
        <w:rPr>
          <w:rFonts w:ascii="Times New Roman" w:hAnsi="Times New Roman" w:cs="Times New Roman"/>
          <w:sz w:val="24"/>
          <w:szCs w:val="24"/>
        </w:rPr>
        <w:t xml:space="preserve">Blanchard, 2020, Miles y Scott, 2020; </w:t>
      </w:r>
      <w:proofErr w:type="spellStart"/>
      <w:r w:rsidR="007F6361">
        <w:rPr>
          <w:rFonts w:ascii="Times New Roman" w:hAnsi="Times New Roman" w:cs="Times New Roman"/>
          <w:sz w:val="24"/>
          <w:szCs w:val="24"/>
        </w:rPr>
        <w:t>Goodhart</w:t>
      </w:r>
      <w:proofErr w:type="spellEnd"/>
      <w:r w:rsidR="007F6361">
        <w:rPr>
          <w:rFonts w:ascii="Times New Roman" w:hAnsi="Times New Roman" w:cs="Times New Roman"/>
          <w:sz w:val="24"/>
          <w:szCs w:val="24"/>
        </w:rPr>
        <w:t xml:space="preserve"> y </w:t>
      </w:r>
      <w:proofErr w:type="spellStart"/>
      <w:r w:rsidR="007F6361">
        <w:rPr>
          <w:rFonts w:ascii="Times New Roman" w:hAnsi="Times New Roman" w:cs="Times New Roman"/>
          <w:sz w:val="24"/>
          <w:szCs w:val="24"/>
        </w:rPr>
        <w:t>Pradhan</w:t>
      </w:r>
      <w:proofErr w:type="spellEnd"/>
      <w:r w:rsidR="007F6361">
        <w:rPr>
          <w:rFonts w:ascii="Times New Roman" w:hAnsi="Times New Roman" w:cs="Times New Roman"/>
          <w:sz w:val="24"/>
          <w:szCs w:val="24"/>
        </w:rPr>
        <w:t>, 2020</w:t>
      </w:r>
      <w:bookmarkEnd w:id="2"/>
      <w:r w:rsidR="005B31FC">
        <w:rPr>
          <w:rFonts w:ascii="Times New Roman" w:hAnsi="Times New Roman" w:cs="Times New Roman"/>
          <w:sz w:val="24"/>
          <w:szCs w:val="24"/>
        </w:rPr>
        <w:t xml:space="preserve">; </w:t>
      </w:r>
      <w:r w:rsidR="002030E3" w:rsidRPr="002030E3">
        <w:rPr>
          <w:rFonts w:ascii="Times New Roman" w:hAnsi="Times New Roman" w:cs="Times New Roman"/>
          <w:sz w:val="24"/>
          <w:szCs w:val="24"/>
          <w:bdr w:val="none" w:sz="0" w:space="0" w:color="auto" w:frame="1"/>
          <w:lang w:eastAsia="es-MX"/>
        </w:rPr>
        <w:t xml:space="preserve">Becker, </w:t>
      </w:r>
      <w:proofErr w:type="spellStart"/>
      <w:r w:rsidR="002030E3" w:rsidRPr="002030E3">
        <w:rPr>
          <w:rFonts w:ascii="Times New Roman" w:hAnsi="Times New Roman" w:cs="Times New Roman"/>
          <w:sz w:val="24"/>
          <w:szCs w:val="24"/>
          <w:bdr w:val="none" w:sz="0" w:space="0" w:color="auto" w:frame="1"/>
          <w:lang w:eastAsia="es-MX"/>
        </w:rPr>
        <w:t>Hege</w:t>
      </w:r>
      <w:proofErr w:type="spellEnd"/>
      <w:r w:rsidR="005B31FC">
        <w:rPr>
          <w:rFonts w:ascii="Times New Roman" w:hAnsi="Times New Roman" w:cs="Times New Roman"/>
          <w:sz w:val="24"/>
          <w:szCs w:val="24"/>
          <w:bdr w:val="none" w:sz="0" w:space="0" w:color="auto" w:frame="1"/>
          <w:lang w:eastAsia="es-MX"/>
        </w:rPr>
        <w:t xml:space="preserve"> </w:t>
      </w:r>
      <w:r w:rsidR="002030E3" w:rsidRPr="002030E3">
        <w:rPr>
          <w:rFonts w:ascii="Times New Roman" w:hAnsi="Times New Roman" w:cs="Times New Roman"/>
          <w:sz w:val="24"/>
          <w:szCs w:val="24"/>
          <w:bdr w:val="none" w:sz="0" w:space="0" w:color="auto" w:frame="1"/>
          <w:lang w:eastAsia="es-MX"/>
        </w:rPr>
        <w:t>y Mella-Barral</w:t>
      </w:r>
      <w:r w:rsidR="005B31FC">
        <w:rPr>
          <w:rFonts w:ascii="Times New Roman" w:hAnsi="Times New Roman" w:cs="Times New Roman"/>
          <w:sz w:val="24"/>
          <w:szCs w:val="24"/>
          <w:bdr w:val="none" w:sz="0" w:space="0" w:color="auto" w:frame="1"/>
          <w:lang w:eastAsia="es-MX"/>
        </w:rPr>
        <w:t xml:space="preserve">, 2020). </w:t>
      </w:r>
    </w:p>
    <w:p w14:paraId="1FDFE5EF" w14:textId="35E61733" w:rsidR="00D91883" w:rsidRDefault="00A734DB" w:rsidP="00C53F72">
      <w:pPr>
        <w:spacing w:line="360" w:lineRule="auto"/>
        <w:ind w:firstLine="708"/>
        <w:jc w:val="both"/>
        <w:rPr>
          <w:rFonts w:ascii="Times New Roman" w:hAnsi="Times New Roman" w:cs="Times New Roman"/>
          <w:color w:val="000000"/>
          <w:sz w:val="24"/>
          <w:szCs w:val="24"/>
        </w:rPr>
      </w:pPr>
      <w:proofErr w:type="spellStart"/>
      <w:r w:rsidRPr="00A734DB">
        <w:rPr>
          <w:rFonts w:ascii="Times New Roman" w:hAnsi="Times New Roman" w:cs="Times New Roman"/>
          <w:sz w:val="24"/>
          <w:szCs w:val="24"/>
          <w:bdr w:val="none" w:sz="0" w:space="0" w:color="auto" w:frame="1"/>
          <w:lang w:eastAsia="es-MX"/>
        </w:rPr>
        <w:t>Goodhart</w:t>
      </w:r>
      <w:proofErr w:type="spellEnd"/>
      <w:r w:rsidRPr="00A734DB">
        <w:rPr>
          <w:rFonts w:ascii="Times New Roman" w:hAnsi="Times New Roman" w:cs="Times New Roman"/>
          <w:sz w:val="24"/>
          <w:szCs w:val="24"/>
          <w:bdr w:val="none" w:sz="0" w:space="0" w:color="auto" w:frame="1"/>
          <w:lang w:eastAsia="es-MX"/>
        </w:rPr>
        <w:t xml:space="preserve"> y </w:t>
      </w:r>
      <w:proofErr w:type="spellStart"/>
      <w:r w:rsidRPr="00A734DB">
        <w:rPr>
          <w:rFonts w:ascii="Times New Roman" w:hAnsi="Times New Roman" w:cs="Times New Roman"/>
          <w:sz w:val="24"/>
          <w:szCs w:val="24"/>
          <w:bdr w:val="none" w:sz="0" w:space="0" w:color="auto" w:frame="1"/>
          <w:lang w:eastAsia="es-MX"/>
        </w:rPr>
        <w:t>Pradhan</w:t>
      </w:r>
      <w:proofErr w:type="spellEnd"/>
      <w:r w:rsidRPr="00A734DB">
        <w:rPr>
          <w:rFonts w:ascii="Times New Roman" w:hAnsi="Times New Roman" w:cs="Times New Roman"/>
          <w:sz w:val="24"/>
          <w:szCs w:val="24"/>
          <w:bdr w:val="none" w:sz="0" w:space="0" w:color="auto" w:frame="1"/>
          <w:lang w:eastAsia="es-MX"/>
        </w:rPr>
        <w:t xml:space="preserve"> (2020:2) afirman que “la pandemia del </w:t>
      </w:r>
      <w:r w:rsidRPr="00A734DB">
        <w:rPr>
          <w:rFonts w:ascii="Times New Roman" w:hAnsi="Times New Roman" w:cs="Times New Roman"/>
          <w:color w:val="000000"/>
          <w:sz w:val="24"/>
          <w:szCs w:val="24"/>
        </w:rPr>
        <w:t>coronavirus y el choque de oferta que ha inducido m</w:t>
      </w:r>
      <w:r>
        <w:rPr>
          <w:rFonts w:ascii="Times New Roman" w:hAnsi="Times New Roman" w:cs="Times New Roman"/>
          <w:color w:val="000000"/>
          <w:sz w:val="24"/>
          <w:szCs w:val="24"/>
        </w:rPr>
        <w:t>arcarán la línea divisoria entre las fuerzas deflacionarias de los últimos 30 a 40 años y la resurgente inflación de las próximas décadas”.</w:t>
      </w:r>
      <w:r w:rsidR="00C53F72">
        <w:rPr>
          <w:rFonts w:ascii="Times New Roman" w:hAnsi="Times New Roman" w:cs="Times New Roman"/>
          <w:color w:val="000000"/>
          <w:sz w:val="24"/>
          <w:szCs w:val="24"/>
        </w:rPr>
        <w:t xml:space="preserve"> </w:t>
      </w:r>
      <w:r w:rsidR="00D91883">
        <w:rPr>
          <w:rFonts w:ascii="Times New Roman" w:hAnsi="Times New Roman" w:cs="Times New Roman"/>
          <w:color w:val="000000"/>
          <w:sz w:val="24"/>
          <w:szCs w:val="24"/>
        </w:rPr>
        <w:t>Este escenario, de suyo complejo, se complica aún más si consideramos que la Fed y otros bancos centrales han tenido severas dificultades para lograr la meta de inflación</w:t>
      </w:r>
      <w:r w:rsidR="00C53F72">
        <w:rPr>
          <w:rFonts w:ascii="Times New Roman" w:hAnsi="Times New Roman" w:cs="Times New Roman"/>
          <w:color w:val="000000"/>
          <w:sz w:val="24"/>
          <w:szCs w:val="24"/>
        </w:rPr>
        <w:t xml:space="preserve"> (</w:t>
      </w:r>
      <w:r w:rsidR="00D91883">
        <w:rPr>
          <w:rFonts w:ascii="Times New Roman" w:hAnsi="Times New Roman" w:cs="Times New Roman"/>
          <w:color w:val="000000"/>
          <w:sz w:val="24"/>
          <w:szCs w:val="24"/>
        </w:rPr>
        <w:t xml:space="preserve">es decir, para incrementar la </w:t>
      </w:r>
      <w:r w:rsidR="00D23CF0">
        <w:rPr>
          <w:rFonts w:ascii="Times New Roman" w:hAnsi="Times New Roman" w:cs="Times New Roman"/>
          <w:color w:val="000000"/>
          <w:sz w:val="24"/>
          <w:szCs w:val="24"/>
        </w:rPr>
        <w:t xml:space="preserve">tasa de </w:t>
      </w:r>
      <w:r w:rsidR="00D91883">
        <w:rPr>
          <w:rFonts w:ascii="Times New Roman" w:hAnsi="Times New Roman" w:cs="Times New Roman"/>
          <w:color w:val="000000"/>
          <w:sz w:val="24"/>
          <w:szCs w:val="24"/>
        </w:rPr>
        <w:t>inflación a pesar de las cuantiosas inyecciones de liquidez</w:t>
      </w:r>
      <w:r w:rsidR="00C53F72">
        <w:rPr>
          <w:rFonts w:ascii="Times New Roman" w:hAnsi="Times New Roman" w:cs="Times New Roman"/>
          <w:color w:val="000000"/>
          <w:sz w:val="24"/>
          <w:szCs w:val="24"/>
        </w:rPr>
        <w:t>)</w:t>
      </w:r>
      <w:r w:rsidR="00D23CF0">
        <w:rPr>
          <w:rFonts w:ascii="Times New Roman" w:hAnsi="Times New Roman" w:cs="Times New Roman"/>
          <w:color w:val="000000"/>
          <w:sz w:val="24"/>
          <w:szCs w:val="24"/>
        </w:rPr>
        <w:t xml:space="preserve"> y que la efectividad de la política monetaria se encuentra acotada por </w:t>
      </w:r>
      <w:r w:rsidR="00C53F72">
        <w:rPr>
          <w:rFonts w:ascii="Times New Roman" w:hAnsi="Times New Roman" w:cs="Times New Roman"/>
          <w:color w:val="000000"/>
          <w:sz w:val="24"/>
          <w:szCs w:val="24"/>
        </w:rPr>
        <w:t>el nivel tan bajo de las tasas de interés</w:t>
      </w:r>
      <w:r w:rsidR="00D91883">
        <w:rPr>
          <w:rFonts w:ascii="Times New Roman" w:hAnsi="Times New Roman" w:cs="Times New Roman"/>
          <w:color w:val="000000"/>
          <w:sz w:val="24"/>
          <w:szCs w:val="24"/>
        </w:rPr>
        <w:t xml:space="preserve">. </w:t>
      </w:r>
      <w:proofErr w:type="spellStart"/>
      <w:r w:rsidR="00D91883">
        <w:rPr>
          <w:rFonts w:ascii="Times New Roman" w:hAnsi="Times New Roman" w:cs="Times New Roman"/>
          <w:color w:val="000000"/>
          <w:sz w:val="24"/>
          <w:szCs w:val="24"/>
        </w:rPr>
        <w:t>Lilley</w:t>
      </w:r>
      <w:proofErr w:type="spellEnd"/>
      <w:r w:rsidR="00D91883">
        <w:rPr>
          <w:rFonts w:ascii="Times New Roman" w:hAnsi="Times New Roman" w:cs="Times New Roman"/>
          <w:color w:val="000000"/>
          <w:sz w:val="24"/>
          <w:szCs w:val="24"/>
        </w:rPr>
        <w:t xml:space="preserve"> y </w:t>
      </w:r>
      <w:proofErr w:type="spellStart"/>
      <w:r w:rsidR="00D91883">
        <w:rPr>
          <w:rFonts w:ascii="Times New Roman" w:hAnsi="Times New Roman" w:cs="Times New Roman"/>
          <w:color w:val="000000"/>
          <w:sz w:val="24"/>
          <w:szCs w:val="24"/>
        </w:rPr>
        <w:t>Rogoff</w:t>
      </w:r>
      <w:proofErr w:type="spellEnd"/>
      <w:r w:rsidR="00D91883">
        <w:rPr>
          <w:rFonts w:ascii="Times New Roman" w:hAnsi="Times New Roman" w:cs="Times New Roman"/>
          <w:color w:val="000000"/>
          <w:sz w:val="24"/>
          <w:szCs w:val="24"/>
        </w:rPr>
        <w:t xml:space="preserve"> (2020) plantean que existe una tendencia decreciente global persistente de las tasas de interés reales y que, dada la inefectividad de los instrumentos </w:t>
      </w:r>
      <w:proofErr w:type="spellStart"/>
      <w:r w:rsidR="00D91883">
        <w:rPr>
          <w:rFonts w:ascii="Times New Roman" w:hAnsi="Times New Roman" w:cs="Times New Roman"/>
          <w:color w:val="000000"/>
          <w:sz w:val="24"/>
          <w:szCs w:val="24"/>
        </w:rPr>
        <w:t>cuasi-fiscales</w:t>
      </w:r>
      <w:proofErr w:type="spellEnd"/>
      <w:r w:rsidR="00D91883">
        <w:rPr>
          <w:rFonts w:ascii="Times New Roman" w:hAnsi="Times New Roman" w:cs="Times New Roman"/>
          <w:color w:val="000000"/>
          <w:sz w:val="24"/>
          <w:szCs w:val="24"/>
        </w:rPr>
        <w:t xml:space="preserve"> cuando la tasa de interés se halla en el límite cero, </w:t>
      </w:r>
      <w:r w:rsidR="00C53F72">
        <w:rPr>
          <w:rFonts w:ascii="Times New Roman" w:hAnsi="Times New Roman" w:cs="Times New Roman"/>
          <w:color w:val="000000"/>
          <w:sz w:val="24"/>
          <w:szCs w:val="24"/>
        </w:rPr>
        <w:t>el mundo avanza inexorablemente hacia un escenario</w:t>
      </w:r>
      <w:r w:rsidR="00D91883">
        <w:rPr>
          <w:rFonts w:ascii="Times New Roman" w:hAnsi="Times New Roman" w:cs="Times New Roman"/>
          <w:color w:val="000000"/>
          <w:sz w:val="24"/>
          <w:szCs w:val="24"/>
        </w:rPr>
        <w:t xml:space="preserve"> de tasas de interés negativas.</w:t>
      </w:r>
    </w:p>
    <w:p w14:paraId="7D6A01B8" w14:textId="23D3B124" w:rsidR="00F659A3" w:rsidRPr="00223719" w:rsidRDefault="00F659A3" w:rsidP="00F659A3">
      <w:pPr>
        <w:spacing w:line="360" w:lineRule="auto"/>
        <w:ind w:firstLine="708"/>
        <w:jc w:val="both"/>
        <w:rPr>
          <w:rFonts w:ascii="Times New Roman" w:hAnsi="Times New Roman" w:cs="Times New Roman"/>
          <w:color w:val="000000"/>
          <w:sz w:val="24"/>
          <w:szCs w:val="24"/>
        </w:rPr>
      </w:pPr>
      <w:r w:rsidRPr="00223719">
        <w:rPr>
          <w:rFonts w:ascii="Times New Roman" w:hAnsi="Times New Roman" w:cs="Times New Roman"/>
          <w:color w:val="000000"/>
          <w:sz w:val="24"/>
          <w:szCs w:val="24"/>
        </w:rPr>
        <w:t xml:space="preserve">En el presente artículo analizamos la política monetaria de la Fed durante el periodo 2000-2020. Nuestro objetivo es estudiar la relación entre la política </w:t>
      </w:r>
      <w:r w:rsidR="00CF5719" w:rsidRPr="00223719">
        <w:rPr>
          <w:rFonts w:ascii="Times New Roman" w:hAnsi="Times New Roman" w:cs="Times New Roman"/>
          <w:color w:val="000000"/>
          <w:sz w:val="24"/>
          <w:szCs w:val="24"/>
        </w:rPr>
        <w:t xml:space="preserve">monetaria </w:t>
      </w:r>
      <w:r w:rsidRPr="00223719">
        <w:rPr>
          <w:rFonts w:ascii="Times New Roman" w:hAnsi="Times New Roman" w:cs="Times New Roman"/>
          <w:color w:val="000000"/>
          <w:sz w:val="24"/>
          <w:szCs w:val="24"/>
        </w:rPr>
        <w:t xml:space="preserve">de la Fed, la deuda y la bolsa de valores, para lo cual </w:t>
      </w:r>
      <w:r w:rsidR="00CF5719" w:rsidRPr="00223719">
        <w:rPr>
          <w:rFonts w:ascii="Times New Roman" w:hAnsi="Times New Roman" w:cs="Times New Roman"/>
          <w:color w:val="000000"/>
          <w:sz w:val="24"/>
          <w:szCs w:val="24"/>
        </w:rPr>
        <w:t xml:space="preserve">formulamos </w:t>
      </w:r>
      <w:r w:rsidR="00EB7F7A" w:rsidRPr="00223719">
        <w:rPr>
          <w:rFonts w:ascii="Times New Roman" w:hAnsi="Times New Roman"/>
          <w:sz w:val="24"/>
          <w:szCs w:val="24"/>
        </w:rPr>
        <w:t xml:space="preserve">funciones de reacción </w:t>
      </w:r>
      <w:r w:rsidR="00CF5719" w:rsidRPr="00223719">
        <w:rPr>
          <w:rFonts w:ascii="Times New Roman" w:hAnsi="Times New Roman"/>
          <w:sz w:val="24"/>
          <w:szCs w:val="24"/>
        </w:rPr>
        <w:t>d</w:t>
      </w:r>
      <w:r w:rsidR="00EB7F7A" w:rsidRPr="00223719">
        <w:rPr>
          <w:rFonts w:ascii="Times New Roman" w:hAnsi="Times New Roman"/>
          <w:sz w:val="24"/>
          <w:szCs w:val="24"/>
        </w:rPr>
        <w:t>el producto</w:t>
      </w:r>
      <w:r w:rsidR="00E209EC" w:rsidRPr="00223719">
        <w:rPr>
          <w:rFonts w:ascii="Times New Roman" w:hAnsi="Times New Roman"/>
          <w:sz w:val="24"/>
          <w:szCs w:val="24"/>
        </w:rPr>
        <w:t xml:space="preserve"> interno bruto (PIB)</w:t>
      </w:r>
      <w:r w:rsidR="00EB7F7A" w:rsidRPr="00223719">
        <w:rPr>
          <w:rFonts w:ascii="Times New Roman" w:hAnsi="Times New Roman"/>
          <w:sz w:val="24"/>
          <w:szCs w:val="24"/>
        </w:rPr>
        <w:t>, la inflación, la</w:t>
      </w:r>
      <w:r w:rsidR="00EB7F7A" w:rsidRPr="00223719">
        <w:rPr>
          <w:rFonts w:ascii="Times New Roman" w:hAnsi="Times New Roman" w:cs="Times New Roman"/>
          <w:sz w:val="24"/>
          <w:szCs w:val="24"/>
        </w:rPr>
        <w:t xml:space="preserve"> actividad bursátil y </w:t>
      </w:r>
      <w:r w:rsidR="00EB7F7A" w:rsidRPr="00223719">
        <w:rPr>
          <w:rFonts w:ascii="Times New Roman" w:hAnsi="Times New Roman"/>
          <w:sz w:val="24"/>
          <w:szCs w:val="24"/>
        </w:rPr>
        <w:t xml:space="preserve">la tasa de interés </w:t>
      </w:r>
      <w:r w:rsidR="00EB7F7A" w:rsidRPr="00223719">
        <w:rPr>
          <w:rFonts w:ascii="Times New Roman" w:hAnsi="Times New Roman" w:cs="Times New Roman"/>
          <w:sz w:val="24"/>
          <w:szCs w:val="24"/>
        </w:rPr>
        <w:t>ante variaciones de la deuda</w:t>
      </w:r>
      <w:r w:rsidRPr="00223719">
        <w:rPr>
          <w:rFonts w:ascii="Times New Roman" w:hAnsi="Times New Roman" w:cs="Times New Roman"/>
          <w:sz w:val="24"/>
          <w:szCs w:val="24"/>
        </w:rPr>
        <w:t>;</w:t>
      </w:r>
      <w:r w:rsidR="00EB7F7A" w:rsidRPr="00223719">
        <w:rPr>
          <w:rFonts w:ascii="Times New Roman" w:hAnsi="Times New Roman" w:cs="Times New Roman"/>
          <w:sz w:val="24"/>
          <w:szCs w:val="24"/>
        </w:rPr>
        <w:t xml:space="preserve"> </w:t>
      </w:r>
      <w:r w:rsidRPr="00223719">
        <w:rPr>
          <w:rFonts w:ascii="Times New Roman" w:hAnsi="Times New Roman" w:cs="Times New Roman"/>
          <w:sz w:val="24"/>
          <w:szCs w:val="24"/>
        </w:rPr>
        <w:t>estimamos cuatro funciones de reacción ante variaciones de la deuda</w:t>
      </w:r>
      <w:r w:rsidR="00CF5719" w:rsidRPr="00223719">
        <w:rPr>
          <w:rFonts w:ascii="Times New Roman" w:hAnsi="Times New Roman" w:cs="Times New Roman"/>
          <w:sz w:val="24"/>
          <w:szCs w:val="24"/>
        </w:rPr>
        <w:t xml:space="preserve"> para evaluar</w:t>
      </w:r>
      <w:r w:rsidRPr="00223719">
        <w:rPr>
          <w:rFonts w:ascii="Times New Roman" w:hAnsi="Times New Roman" w:cs="Times New Roman"/>
          <w:sz w:val="24"/>
          <w:szCs w:val="24"/>
        </w:rPr>
        <w:t>: el efecto sobre el desempeño bursátil</w:t>
      </w:r>
      <w:r w:rsidR="00CF5719" w:rsidRPr="00223719">
        <w:rPr>
          <w:rFonts w:ascii="Times New Roman" w:hAnsi="Times New Roman" w:cs="Times New Roman"/>
          <w:sz w:val="24"/>
          <w:szCs w:val="24"/>
        </w:rPr>
        <w:t>; e</w:t>
      </w:r>
      <w:r w:rsidRPr="00223719">
        <w:rPr>
          <w:rFonts w:ascii="Times New Roman" w:hAnsi="Times New Roman" w:cs="Times New Roman"/>
          <w:sz w:val="24"/>
          <w:szCs w:val="24"/>
        </w:rPr>
        <w:t>l impacto sobre la dinámica del PIB</w:t>
      </w:r>
      <w:r w:rsidR="00CF5719" w:rsidRPr="00223719">
        <w:rPr>
          <w:rFonts w:ascii="Times New Roman" w:hAnsi="Times New Roman" w:cs="Times New Roman"/>
          <w:sz w:val="24"/>
          <w:szCs w:val="24"/>
        </w:rPr>
        <w:t>;</w:t>
      </w:r>
      <w:r w:rsidRPr="00223719">
        <w:rPr>
          <w:rFonts w:ascii="Times New Roman" w:hAnsi="Times New Roman" w:cs="Times New Roman"/>
          <w:sz w:val="24"/>
          <w:szCs w:val="24"/>
        </w:rPr>
        <w:t xml:space="preserve"> </w:t>
      </w:r>
      <w:r w:rsidR="00CF5719" w:rsidRPr="00223719">
        <w:rPr>
          <w:rFonts w:ascii="Times New Roman" w:hAnsi="Times New Roman" w:cs="Times New Roman"/>
          <w:sz w:val="24"/>
          <w:szCs w:val="24"/>
        </w:rPr>
        <w:t>el efecto</w:t>
      </w:r>
      <w:r w:rsidRPr="00223719">
        <w:rPr>
          <w:rFonts w:ascii="Times New Roman" w:hAnsi="Times New Roman" w:cs="Times New Roman"/>
          <w:sz w:val="24"/>
          <w:szCs w:val="24"/>
        </w:rPr>
        <w:t xml:space="preserve"> sobre la estabilidad de precios</w:t>
      </w:r>
      <w:r w:rsidR="00232CD1" w:rsidRPr="00223719">
        <w:rPr>
          <w:rFonts w:ascii="Times New Roman" w:hAnsi="Times New Roman" w:cs="Times New Roman"/>
          <w:sz w:val="24"/>
          <w:szCs w:val="24"/>
        </w:rPr>
        <w:t xml:space="preserve"> y</w:t>
      </w:r>
      <w:r w:rsidRPr="00223719">
        <w:rPr>
          <w:rFonts w:ascii="Times New Roman" w:hAnsi="Times New Roman" w:cs="Times New Roman"/>
          <w:sz w:val="24"/>
          <w:szCs w:val="24"/>
        </w:rPr>
        <w:t xml:space="preserve"> m</w:t>
      </w:r>
      <w:r w:rsidR="00CF5719" w:rsidRPr="00223719">
        <w:rPr>
          <w:rFonts w:ascii="Times New Roman" w:hAnsi="Times New Roman" w:cs="Times New Roman"/>
          <w:sz w:val="24"/>
          <w:szCs w:val="24"/>
        </w:rPr>
        <w:t>e</w:t>
      </w:r>
      <w:r w:rsidRPr="00223719">
        <w:rPr>
          <w:rFonts w:ascii="Times New Roman" w:hAnsi="Times New Roman" w:cs="Times New Roman"/>
          <w:sz w:val="24"/>
          <w:szCs w:val="24"/>
        </w:rPr>
        <w:t>d</w:t>
      </w:r>
      <w:r w:rsidR="00CF5719" w:rsidRPr="00223719">
        <w:rPr>
          <w:rFonts w:ascii="Times New Roman" w:hAnsi="Times New Roman" w:cs="Times New Roman"/>
          <w:sz w:val="24"/>
          <w:szCs w:val="24"/>
        </w:rPr>
        <w:t>ir</w:t>
      </w:r>
      <w:r w:rsidRPr="00223719">
        <w:rPr>
          <w:rFonts w:ascii="Times New Roman" w:hAnsi="Times New Roman" w:cs="Times New Roman"/>
          <w:sz w:val="24"/>
          <w:szCs w:val="24"/>
        </w:rPr>
        <w:t xml:space="preserve"> las implicaciones </w:t>
      </w:r>
      <w:r w:rsidR="00232CD1" w:rsidRPr="00223719">
        <w:rPr>
          <w:rFonts w:ascii="Times New Roman" w:hAnsi="Times New Roman" w:cs="Times New Roman"/>
          <w:sz w:val="24"/>
          <w:szCs w:val="24"/>
        </w:rPr>
        <w:t>para</w:t>
      </w:r>
      <w:r w:rsidRPr="00223719">
        <w:rPr>
          <w:rFonts w:ascii="Times New Roman" w:hAnsi="Times New Roman" w:cs="Times New Roman"/>
          <w:sz w:val="24"/>
          <w:szCs w:val="24"/>
        </w:rPr>
        <w:t xml:space="preserve"> la tasa de interés.    </w:t>
      </w:r>
    </w:p>
    <w:p w14:paraId="61708D35" w14:textId="3460FA9B" w:rsidR="00F659A3" w:rsidRDefault="00232CD1" w:rsidP="00F659A3">
      <w:pPr>
        <w:spacing w:after="0" w:line="360" w:lineRule="auto"/>
        <w:ind w:firstLine="708"/>
        <w:jc w:val="both"/>
        <w:rPr>
          <w:rFonts w:ascii="Times New Roman" w:eastAsiaTheme="minorEastAsia" w:hAnsi="Times New Roman" w:cs="Times New Roman"/>
          <w:sz w:val="24"/>
          <w:szCs w:val="24"/>
        </w:rPr>
      </w:pPr>
      <w:r w:rsidRPr="00223719">
        <w:rPr>
          <w:rFonts w:ascii="Times New Roman" w:hAnsi="Times New Roman" w:cs="Times New Roman"/>
          <w:sz w:val="24"/>
          <w:szCs w:val="24"/>
        </w:rPr>
        <w:t>N</w:t>
      </w:r>
      <w:r w:rsidR="00F659A3" w:rsidRPr="00223719">
        <w:rPr>
          <w:rFonts w:ascii="Times New Roman" w:hAnsi="Times New Roman" w:cs="Times New Roman"/>
          <w:sz w:val="24"/>
          <w:szCs w:val="24"/>
        </w:rPr>
        <w:t>uestra</w:t>
      </w:r>
      <w:r w:rsidRPr="00223719">
        <w:rPr>
          <w:rFonts w:ascii="Times New Roman" w:hAnsi="Times New Roman" w:cs="Times New Roman"/>
          <w:sz w:val="24"/>
          <w:szCs w:val="24"/>
        </w:rPr>
        <w:t xml:space="preserve"> hipótesis es</w:t>
      </w:r>
      <w:r w:rsidR="00F659A3" w:rsidRPr="00223719">
        <w:rPr>
          <w:rFonts w:ascii="Times New Roman" w:hAnsi="Times New Roman" w:cs="Times New Roman"/>
          <w:sz w:val="24"/>
          <w:szCs w:val="24"/>
        </w:rPr>
        <w:t xml:space="preserve"> que el </w:t>
      </w:r>
      <w:r w:rsidRPr="00223719">
        <w:rPr>
          <w:rFonts w:ascii="Times New Roman" w:hAnsi="Times New Roman" w:cs="Times New Roman"/>
          <w:sz w:val="24"/>
          <w:szCs w:val="24"/>
        </w:rPr>
        <w:t xml:space="preserve">principal </w:t>
      </w:r>
      <w:r w:rsidR="00F659A3" w:rsidRPr="00223719">
        <w:rPr>
          <w:rFonts w:ascii="Times New Roman" w:hAnsi="Times New Roman" w:cs="Times New Roman"/>
          <w:sz w:val="24"/>
          <w:szCs w:val="24"/>
        </w:rPr>
        <w:t>efecto</w:t>
      </w:r>
      <w:r w:rsidRPr="00223719">
        <w:rPr>
          <w:rFonts w:ascii="Times New Roman" w:hAnsi="Times New Roman" w:cs="Times New Roman"/>
          <w:sz w:val="24"/>
          <w:szCs w:val="24"/>
        </w:rPr>
        <w:t>,</w:t>
      </w:r>
      <w:r w:rsidR="00F659A3" w:rsidRPr="00223719">
        <w:rPr>
          <w:rFonts w:ascii="Times New Roman" w:hAnsi="Times New Roman" w:cs="Times New Roman"/>
          <w:sz w:val="24"/>
          <w:szCs w:val="24"/>
        </w:rPr>
        <w:t xml:space="preserve"> asociado </w:t>
      </w:r>
      <w:r w:rsidR="00A2537C" w:rsidRPr="00223719">
        <w:rPr>
          <w:rFonts w:ascii="Times New Roman" w:hAnsi="Times New Roman" w:cs="Times New Roman"/>
          <w:sz w:val="24"/>
          <w:szCs w:val="24"/>
        </w:rPr>
        <w:t>a</w:t>
      </w:r>
      <w:r w:rsidR="00F659A3" w:rsidRPr="00223719">
        <w:rPr>
          <w:rFonts w:ascii="Times New Roman" w:hAnsi="Times New Roman" w:cs="Times New Roman"/>
          <w:sz w:val="24"/>
          <w:szCs w:val="24"/>
        </w:rPr>
        <w:t xml:space="preserve"> la expansión de la deuda</w:t>
      </w:r>
      <w:r w:rsidRPr="00223719">
        <w:rPr>
          <w:rFonts w:ascii="Times New Roman" w:hAnsi="Times New Roman" w:cs="Times New Roman"/>
          <w:sz w:val="24"/>
          <w:szCs w:val="24"/>
        </w:rPr>
        <w:t>,</w:t>
      </w:r>
      <w:r w:rsidR="00F659A3" w:rsidRPr="00223719">
        <w:rPr>
          <w:rFonts w:ascii="Times New Roman" w:hAnsi="Times New Roman" w:cs="Times New Roman"/>
          <w:sz w:val="24"/>
          <w:szCs w:val="24"/>
        </w:rPr>
        <w:t xml:space="preserve"> </w:t>
      </w:r>
      <w:r w:rsidR="00CF5719" w:rsidRPr="00223719">
        <w:rPr>
          <w:rFonts w:ascii="Times New Roman" w:hAnsi="Times New Roman" w:cs="Times New Roman"/>
          <w:sz w:val="24"/>
          <w:szCs w:val="24"/>
        </w:rPr>
        <w:t xml:space="preserve">lo genera </w:t>
      </w:r>
      <w:r w:rsidR="00F659A3" w:rsidRPr="00223719">
        <w:rPr>
          <w:rFonts w:ascii="Times New Roman" w:hAnsi="Times New Roman" w:cs="Times New Roman"/>
          <w:sz w:val="24"/>
          <w:szCs w:val="24"/>
        </w:rPr>
        <w:t xml:space="preserve">la dinámica del mercado de valores, la respuesta del índice bursátil ante un incremento de </w:t>
      </w:r>
      <w:r w:rsidRPr="00223719">
        <w:rPr>
          <w:rFonts w:ascii="Times New Roman" w:hAnsi="Times New Roman" w:cs="Times New Roman"/>
          <w:sz w:val="24"/>
          <w:szCs w:val="24"/>
        </w:rPr>
        <w:t xml:space="preserve">la deuda pública </w:t>
      </w:r>
      <w:r w:rsidR="00F659A3" w:rsidRPr="00223719">
        <w:rPr>
          <w:rFonts w:ascii="Times New Roman" w:hAnsi="Times New Roman" w:cs="Times New Roman"/>
          <w:sz w:val="24"/>
          <w:szCs w:val="24"/>
        </w:rPr>
        <w:t xml:space="preserve">es significativamente elástica. Este resultado es consistente con la </w:t>
      </w:r>
      <w:r w:rsidR="00CF5719" w:rsidRPr="00223719">
        <w:rPr>
          <w:rFonts w:ascii="Times New Roman" w:hAnsi="Times New Roman" w:cs="Times New Roman"/>
          <w:sz w:val="24"/>
          <w:szCs w:val="24"/>
        </w:rPr>
        <w:t>hipótesis</w:t>
      </w:r>
      <w:r w:rsidR="00F659A3" w:rsidRPr="00223719">
        <w:rPr>
          <w:rFonts w:ascii="Times New Roman" w:hAnsi="Times New Roman" w:cs="Times New Roman"/>
          <w:sz w:val="24"/>
          <w:szCs w:val="24"/>
        </w:rPr>
        <w:t xml:space="preserve"> de que la compra de títulos </w:t>
      </w:r>
      <w:r w:rsidR="00CF5719" w:rsidRPr="00223719">
        <w:rPr>
          <w:rFonts w:ascii="Times New Roman" w:hAnsi="Times New Roman" w:cs="Times New Roman"/>
          <w:sz w:val="24"/>
          <w:szCs w:val="24"/>
        </w:rPr>
        <w:t xml:space="preserve">del </w:t>
      </w:r>
      <w:r w:rsidR="00F659A3" w:rsidRPr="00223719">
        <w:rPr>
          <w:rFonts w:ascii="Times New Roman" w:hAnsi="Times New Roman" w:cs="Times New Roman"/>
          <w:sz w:val="24"/>
          <w:szCs w:val="24"/>
        </w:rPr>
        <w:t>g</w:t>
      </w:r>
      <w:r w:rsidR="00CF5719" w:rsidRPr="00223719">
        <w:rPr>
          <w:rFonts w:ascii="Times New Roman" w:hAnsi="Times New Roman" w:cs="Times New Roman"/>
          <w:sz w:val="24"/>
          <w:szCs w:val="24"/>
        </w:rPr>
        <w:t>o</w:t>
      </w:r>
      <w:r w:rsidR="00F659A3" w:rsidRPr="00223719">
        <w:rPr>
          <w:rFonts w:ascii="Times New Roman" w:hAnsi="Times New Roman" w:cs="Times New Roman"/>
          <w:sz w:val="24"/>
          <w:szCs w:val="24"/>
        </w:rPr>
        <w:t>b</w:t>
      </w:r>
      <w:r w:rsidR="00CF5719" w:rsidRPr="00223719">
        <w:rPr>
          <w:rFonts w:ascii="Times New Roman" w:hAnsi="Times New Roman" w:cs="Times New Roman"/>
          <w:sz w:val="24"/>
          <w:szCs w:val="24"/>
        </w:rPr>
        <w:t>i</w:t>
      </w:r>
      <w:r w:rsidR="00F659A3" w:rsidRPr="00223719">
        <w:rPr>
          <w:rFonts w:ascii="Times New Roman" w:hAnsi="Times New Roman" w:cs="Times New Roman"/>
          <w:sz w:val="24"/>
          <w:szCs w:val="24"/>
        </w:rPr>
        <w:t>ern</w:t>
      </w:r>
      <w:r w:rsidR="00CF5719" w:rsidRPr="00223719">
        <w:rPr>
          <w:rFonts w:ascii="Times New Roman" w:hAnsi="Times New Roman" w:cs="Times New Roman"/>
          <w:sz w:val="24"/>
          <w:szCs w:val="24"/>
        </w:rPr>
        <w:t>o</w:t>
      </w:r>
      <w:r w:rsidR="00F659A3" w:rsidRPr="00223719">
        <w:rPr>
          <w:rFonts w:ascii="Times New Roman" w:hAnsi="Times New Roman" w:cs="Times New Roman"/>
          <w:sz w:val="24"/>
          <w:szCs w:val="24"/>
        </w:rPr>
        <w:t xml:space="preserve"> </w:t>
      </w:r>
      <w:r w:rsidR="00CF5719" w:rsidRPr="00223719">
        <w:rPr>
          <w:rFonts w:ascii="Times New Roman" w:hAnsi="Times New Roman" w:cs="Times New Roman"/>
          <w:sz w:val="24"/>
          <w:szCs w:val="24"/>
        </w:rPr>
        <w:t xml:space="preserve">que realiza </w:t>
      </w:r>
      <w:r w:rsidR="00F659A3" w:rsidRPr="00223719">
        <w:rPr>
          <w:rFonts w:ascii="Times New Roman" w:hAnsi="Times New Roman" w:cs="Times New Roman"/>
          <w:sz w:val="24"/>
          <w:szCs w:val="24"/>
        </w:rPr>
        <w:t>la F</w:t>
      </w:r>
      <w:r w:rsidRPr="00223719">
        <w:rPr>
          <w:rFonts w:ascii="Times New Roman" w:hAnsi="Times New Roman" w:cs="Times New Roman"/>
          <w:sz w:val="24"/>
          <w:szCs w:val="24"/>
        </w:rPr>
        <w:t>ed</w:t>
      </w:r>
      <w:r w:rsidR="00F659A3" w:rsidRPr="00223719">
        <w:rPr>
          <w:rFonts w:ascii="Times New Roman" w:hAnsi="Times New Roman" w:cs="Times New Roman"/>
          <w:sz w:val="24"/>
          <w:szCs w:val="24"/>
        </w:rPr>
        <w:t xml:space="preserve"> (</w:t>
      </w:r>
      <w:r w:rsidR="00CF5719" w:rsidRPr="00223719">
        <w:rPr>
          <w:rFonts w:ascii="Times New Roman" w:hAnsi="Times New Roman" w:cs="Times New Roman"/>
          <w:sz w:val="24"/>
          <w:szCs w:val="24"/>
        </w:rPr>
        <w:t>incre</w:t>
      </w:r>
      <w:r w:rsidR="00F659A3" w:rsidRPr="00223719">
        <w:rPr>
          <w:rFonts w:ascii="Times New Roman" w:hAnsi="Times New Roman" w:cs="Times New Roman"/>
          <w:sz w:val="24"/>
          <w:szCs w:val="24"/>
        </w:rPr>
        <w:t>mento</w:t>
      </w:r>
      <w:r w:rsidR="00CF5719" w:rsidRPr="00223719">
        <w:rPr>
          <w:rFonts w:ascii="Times New Roman" w:hAnsi="Times New Roman" w:cs="Times New Roman"/>
          <w:sz w:val="24"/>
          <w:szCs w:val="24"/>
        </w:rPr>
        <w:t>s</w:t>
      </w:r>
      <w:r w:rsidR="00F659A3" w:rsidRPr="00223719">
        <w:rPr>
          <w:rFonts w:ascii="Times New Roman" w:hAnsi="Times New Roman" w:cs="Times New Roman"/>
          <w:sz w:val="24"/>
          <w:szCs w:val="24"/>
        </w:rPr>
        <w:t xml:space="preserve"> </w:t>
      </w:r>
      <w:r w:rsidR="00CF5719" w:rsidRPr="00223719">
        <w:rPr>
          <w:rFonts w:ascii="Times New Roman" w:hAnsi="Times New Roman" w:cs="Times New Roman"/>
          <w:sz w:val="24"/>
          <w:szCs w:val="24"/>
        </w:rPr>
        <w:t>en</w:t>
      </w:r>
      <w:r w:rsidR="00F659A3" w:rsidRPr="00223719">
        <w:rPr>
          <w:rFonts w:ascii="Times New Roman" w:hAnsi="Times New Roman" w:cs="Times New Roman"/>
          <w:sz w:val="24"/>
          <w:szCs w:val="24"/>
        </w:rPr>
        <w:t xml:space="preserve"> la hoja </w:t>
      </w:r>
      <w:r w:rsidR="00F659A3" w:rsidRPr="00223719">
        <w:rPr>
          <w:rFonts w:ascii="Times New Roman" w:hAnsi="Times New Roman" w:cs="Times New Roman"/>
          <w:sz w:val="24"/>
          <w:szCs w:val="24"/>
        </w:rPr>
        <w:lastRenderedPageBreak/>
        <w:t xml:space="preserve">de balance) tiene como principal </w:t>
      </w:r>
      <w:r w:rsidRPr="00223719">
        <w:rPr>
          <w:rFonts w:ascii="Times New Roman" w:hAnsi="Times New Roman" w:cs="Times New Roman"/>
          <w:sz w:val="24"/>
          <w:szCs w:val="24"/>
        </w:rPr>
        <w:t>objetivo</w:t>
      </w:r>
      <w:r w:rsidR="00F659A3" w:rsidRPr="00223719">
        <w:rPr>
          <w:rFonts w:ascii="Times New Roman" w:hAnsi="Times New Roman" w:cs="Times New Roman"/>
          <w:sz w:val="24"/>
          <w:szCs w:val="24"/>
        </w:rPr>
        <w:t xml:space="preserve"> </w:t>
      </w:r>
      <w:r w:rsidR="00CF5719" w:rsidRPr="00223719">
        <w:rPr>
          <w:rFonts w:ascii="Times New Roman" w:hAnsi="Times New Roman" w:cs="Times New Roman"/>
          <w:sz w:val="24"/>
          <w:szCs w:val="24"/>
        </w:rPr>
        <w:t>aum</w:t>
      </w:r>
      <w:r w:rsidR="00F659A3" w:rsidRPr="00223719">
        <w:rPr>
          <w:rFonts w:ascii="Times New Roman" w:hAnsi="Times New Roman" w:cs="Times New Roman"/>
          <w:sz w:val="24"/>
          <w:szCs w:val="24"/>
        </w:rPr>
        <w:t>e</w:t>
      </w:r>
      <w:r w:rsidR="00CF5719" w:rsidRPr="00223719">
        <w:rPr>
          <w:rFonts w:ascii="Times New Roman" w:hAnsi="Times New Roman" w:cs="Times New Roman"/>
          <w:sz w:val="24"/>
          <w:szCs w:val="24"/>
        </w:rPr>
        <w:t>n</w:t>
      </w:r>
      <w:r w:rsidR="00F659A3" w:rsidRPr="00223719">
        <w:rPr>
          <w:rFonts w:ascii="Times New Roman" w:hAnsi="Times New Roman" w:cs="Times New Roman"/>
          <w:sz w:val="24"/>
          <w:szCs w:val="24"/>
        </w:rPr>
        <w:t xml:space="preserve">tar </w:t>
      </w:r>
      <w:r w:rsidR="00CF5719" w:rsidRPr="00223719">
        <w:rPr>
          <w:rFonts w:ascii="Times New Roman" w:hAnsi="Times New Roman" w:cs="Times New Roman"/>
          <w:sz w:val="24"/>
          <w:szCs w:val="24"/>
        </w:rPr>
        <w:t xml:space="preserve">la </w:t>
      </w:r>
      <w:r w:rsidR="00F659A3" w:rsidRPr="00223719">
        <w:rPr>
          <w:rFonts w:ascii="Times New Roman" w:hAnsi="Times New Roman" w:cs="Times New Roman"/>
          <w:sz w:val="24"/>
          <w:szCs w:val="24"/>
        </w:rPr>
        <w:t xml:space="preserve">liquidez para </w:t>
      </w:r>
      <w:r w:rsidR="00CF5719" w:rsidRPr="00223719">
        <w:rPr>
          <w:rFonts w:ascii="Times New Roman" w:hAnsi="Times New Roman" w:cs="Times New Roman"/>
          <w:sz w:val="24"/>
          <w:szCs w:val="24"/>
        </w:rPr>
        <w:t>moriger</w:t>
      </w:r>
      <w:r w:rsidR="00F659A3" w:rsidRPr="00223719">
        <w:rPr>
          <w:rFonts w:ascii="Times New Roman" w:hAnsi="Times New Roman" w:cs="Times New Roman"/>
          <w:sz w:val="24"/>
          <w:szCs w:val="24"/>
        </w:rPr>
        <w:t xml:space="preserve">ar la inestabilidad del sistema financiero </w:t>
      </w:r>
      <w:r w:rsidR="00CF5719" w:rsidRPr="00223719">
        <w:rPr>
          <w:rFonts w:ascii="Times New Roman" w:hAnsi="Times New Roman" w:cs="Times New Roman"/>
          <w:sz w:val="24"/>
          <w:szCs w:val="24"/>
        </w:rPr>
        <w:t>resultante de</w:t>
      </w:r>
      <w:r w:rsidR="00F659A3" w:rsidRPr="00223719">
        <w:rPr>
          <w:rFonts w:ascii="Times New Roman" w:hAnsi="Times New Roman" w:cs="Times New Roman"/>
          <w:sz w:val="24"/>
          <w:szCs w:val="24"/>
        </w:rPr>
        <w:t xml:space="preserve"> l</w:t>
      </w:r>
      <w:r w:rsidR="00CF5719" w:rsidRPr="00223719">
        <w:rPr>
          <w:rFonts w:ascii="Times New Roman" w:hAnsi="Times New Roman" w:cs="Times New Roman"/>
          <w:sz w:val="24"/>
          <w:szCs w:val="24"/>
        </w:rPr>
        <w:t>a</w:t>
      </w:r>
      <w:r w:rsidR="00F659A3" w:rsidRPr="00223719">
        <w:rPr>
          <w:rFonts w:ascii="Times New Roman" w:hAnsi="Times New Roman" w:cs="Times New Roman"/>
          <w:sz w:val="24"/>
          <w:szCs w:val="24"/>
        </w:rPr>
        <w:t>s c</w:t>
      </w:r>
      <w:r w:rsidR="00CF5719" w:rsidRPr="00223719">
        <w:rPr>
          <w:rFonts w:ascii="Times New Roman" w:hAnsi="Times New Roman" w:cs="Times New Roman"/>
          <w:sz w:val="24"/>
          <w:szCs w:val="24"/>
        </w:rPr>
        <w:t>risi</w:t>
      </w:r>
      <w:r w:rsidR="00F659A3" w:rsidRPr="00223719">
        <w:rPr>
          <w:rFonts w:ascii="Times New Roman" w:hAnsi="Times New Roman" w:cs="Times New Roman"/>
          <w:sz w:val="24"/>
          <w:szCs w:val="24"/>
        </w:rPr>
        <w:t xml:space="preserve">s de 2008 y 2020, </w:t>
      </w:r>
      <w:r w:rsidR="00CF5719" w:rsidRPr="00223719">
        <w:rPr>
          <w:rFonts w:ascii="Times New Roman" w:hAnsi="Times New Roman" w:cs="Times New Roman"/>
          <w:sz w:val="24"/>
          <w:szCs w:val="24"/>
        </w:rPr>
        <w:t>más que para estabilizar a</w:t>
      </w:r>
      <w:r w:rsidR="00F659A3" w:rsidRPr="00223719">
        <w:rPr>
          <w:rFonts w:ascii="Times New Roman" w:hAnsi="Times New Roman" w:cs="Times New Roman"/>
          <w:sz w:val="24"/>
          <w:szCs w:val="24"/>
        </w:rPr>
        <w:t xml:space="preserve"> la economía real. </w:t>
      </w:r>
      <w:r w:rsidRPr="00223719">
        <w:rPr>
          <w:rFonts w:ascii="Times New Roman" w:hAnsi="Times New Roman" w:cs="Times New Roman"/>
          <w:sz w:val="24"/>
          <w:szCs w:val="24"/>
        </w:rPr>
        <w:t>E</w:t>
      </w:r>
      <w:r w:rsidR="00F659A3" w:rsidRPr="00223719">
        <w:rPr>
          <w:rFonts w:ascii="Times New Roman" w:hAnsi="Times New Roman" w:cs="Times New Roman"/>
          <w:sz w:val="24"/>
          <w:szCs w:val="24"/>
        </w:rPr>
        <w:t xml:space="preserve">n el horizonte de mediano y largo plazo, la baja tasa de interés </w:t>
      </w:r>
      <w:r w:rsidR="00CF5719" w:rsidRPr="00223719">
        <w:rPr>
          <w:rFonts w:ascii="Times New Roman" w:hAnsi="Times New Roman" w:cs="Times New Roman"/>
          <w:sz w:val="24"/>
          <w:szCs w:val="24"/>
        </w:rPr>
        <w:t xml:space="preserve">observada </w:t>
      </w:r>
      <w:r w:rsidR="00F659A3" w:rsidRPr="00223719">
        <w:rPr>
          <w:rFonts w:ascii="Times New Roman" w:hAnsi="Times New Roman" w:cs="Times New Roman"/>
          <w:sz w:val="24"/>
          <w:szCs w:val="24"/>
        </w:rPr>
        <w:t xml:space="preserve">desde la crisis </w:t>
      </w:r>
      <w:proofErr w:type="spellStart"/>
      <w:r w:rsidR="00F659A3" w:rsidRPr="00223719">
        <w:rPr>
          <w:rFonts w:ascii="Times New Roman" w:hAnsi="Times New Roman" w:cs="Times New Roman"/>
          <w:i/>
          <w:iCs/>
          <w:sz w:val="24"/>
          <w:szCs w:val="24"/>
        </w:rPr>
        <w:t>subprime</w:t>
      </w:r>
      <w:proofErr w:type="spellEnd"/>
      <w:r w:rsidR="00F659A3" w:rsidRPr="00223719">
        <w:rPr>
          <w:rFonts w:ascii="Times New Roman" w:hAnsi="Times New Roman" w:cs="Times New Roman"/>
          <w:sz w:val="24"/>
          <w:szCs w:val="24"/>
        </w:rPr>
        <w:t xml:space="preserve"> ha </w:t>
      </w:r>
      <w:r w:rsidRPr="00223719">
        <w:rPr>
          <w:rFonts w:ascii="Times New Roman" w:hAnsi="Times New Roman" w:cs="Times New Roman"/>
          <w:sz w:val="24"/>
          <w:szCs w:val="24"/>
        </w:rPr>
        <w:t>induci</w:t>
      </w:r>
      <w:r w:rsidR="00F659A3" w:rsidRPr="00223719">
        <w:rPr>
          <w:rFonts w:ascii="Times New Roman" w:hAnsi="Times New Roman" w:cs="Times New Roman"/>
          <w:sz w:val="24"/>
          <w:szCs w:val="24"/>
        </w:rPr>
        <w:t xml:space="preserve">do una mayor preferencia por activos de mayor riesgo, </w:t>
      </w:r>
      <w:r w:rsidRPr="00223719">
        <w:rPr>
          <w:rFonts w:ascii="Times New Roman" w:hAnsi="Times New Roman" w:cs="Times New Roman"/>
          <w:sz w:val="24"/>
          <w:szCs w:val="24"/>
        </w:rPr>
        <w:t xml:space="preserve">lo que ha </w:t>
      </w:r>
      <w:r w:rsidR="00F659A3" w:rsidRPr="00223719">
        <w:rPr>
          <w:rFonts w:ascii="Times New Roman" w:hAnsi="Times New Roman" w:cs="Times New Roman"/>
          <w:sz w:val="24"/>
          <w:szCs w:val="24"/>
        </w:rPr>
        <w:t>impulsado un proceso inflacionario de los activos financieros.</w:t>
      </w:r>
      <w:r w:rsidR="00F659A3">
        <w:rPr>
          <w:rFonts w:ascii="Times New Roman" w:hAnsi="Times New Roman" w:cs="Times New Roman"/>
          <w:sz w:val="24"/>
          <w:szCs w:val="24"/>
        </w:rPr>
        <w:t xml:space="preserve"> </w:t>
      </w:r>
    </w:p>
    <w:p w14:paraId="70B44213" w14:textId="143E6C2C" w:rsidR="00F659A3" w:rsidRDefault="00232CD1" w:rsidP="00EB7F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La estructura del artículo es así: en la </w:t>
      </w:r>
      <w:r w:rsidR="008E76FF">
        <w:rPr>
          <w:rFonts w:ascii="Times New Roman" w:hAnsi="Times New Roman" w:cs="Times New Roman"/>
          <w:sz w:val="24"/>
          <w:szCs w:val="24"/>
        </w:rPr>
        <w:t>siguiente sección discutimos las principales teorías de la inflación que han informado a la política monetaria de la Fed desde la Gran Moderación. En la tercera sección analizamos empíricamente el papel de la deuda y del mercado bursátil en la política monetaria de la Fed, presentamos la estimación econométrica y los resultados; la última sección resume y concluye.</w:t>
      </w:r>
    </w:p>
    <w:p w14:paraId="39C8886F" w14:textId="5D26E9DB" w:rsidR="008E76FF" w:rsidRDefault="008E76FF" w:rsidP="00EB7F7A">
      <w:pPr>
        <w:spacing w:after="0" w:line="360" w:lineRule="auto"/>
        <w:jc w:val="both"/>
        <w:rPr>
          <w:rFonts w:ascii="Times New Roman" w:hAnsi="Times New Roman" w:cs="Times New Roman"/>
          <w:sz w:val="24"/>
          <w:szCs w:val="24"/>
        </w:rPr>
      </w:pPr>
    </w:p>
    <w:p w14:paraId="1B5B7213" w14:textId="59B181E6" w:rsidR="00EB7F7A" w:rsidRDefault="008E76FF" w:rsidP="00CF5719">
      <w:pPr>
        <w:spacing w:after="0" w:line="360" w:lineRule="auto"/>
        <w:jc w:val="both"/>
        <w:rPr>
          <w:rFonts w:ascii="Times New Roman" w:hAnsi="Times New Roman" w:cs="Times New Roman"/>
          <w:b/>
          <w:bCs/>
          <w:sz w:val="24"/>
          <w:szCs w:val="24"/>
        </w:rPr>
      </w:pPr>
      <w:r w:rsidRPr="008E76FF">
        <w:rPr>
          <w:rFonts w:ascii="Times New Roman" w:hAnsi="Times New Roman" w:cs="Times New Roman"/>
          <w:b/>
          <w:bCs/>
          <w:sz w:val="24"/>
          <w:szCs w:val="24"/>
        </w:rPr>
        <w:t xml:space="preserve">2. </w:t>
      </w:r>
      <w:r w:rsidR="006E4D2E">
        <w:rPr>
          <w:rFonts w:ascii="Times New Roman" w:hAnsi="Times New Roman" w:cs="Times New Roman"/>
          <w:b/>
          <w:bCs/>
          <w:sz w:val="24"/>
          <w:szCs w:val="24"/>
        </w:rPr>
        <w:t>Breve discusión t</w:t>
      </w:r>
      <w:r w:rsidRPr="008E76FF">
        <w:rPr>
          <w:rFonts w:ascii="Times New Roman" w:hAnsi="Times New Roman" w:cs="Times New Roman"/>
          <w:b/>
          <w:bCs/>
          <w:sz w:val="24"/>
          <w:szCs w:val="24"/>
        </w:rPr>
        <w:t>e</w:t>
      </w:r>
      <w:r w:rsidR="006E4D2E">
        <w:rPr>
          <w:rFonts w:ascii="Times New Roman" w:hAnsi="Times New Roman" w:cs="Times New Roman"/>
          <w:b/>
          <w:bCs/>
          <w:sz w:val="24"/>
          <w:szCs w:val="24"/>
        </w:rPr>
        <w:t>ó</w:t>
      </w:r>
      <w:r w:rsidRPr="008E76FF">
        <w:rPr>
          <w:rFonts w:ascii="Times New Roman" w:hAnsi="Times New Roman" w:cs="Times New Roman"/>
          <w:b/>
          <w:bCs/>
          <w:sz w:val="24"/>
          <w:szCs w:val="24"/>
        </w:rPr>
        <w:t>r</w:t>
      </w:r>
      <w:r w:rsidR="006E4D2E">
        <w:rPr>
          <w:rFonts w:ascii="Times New Roman" w:hAnsi="Times New Roman" w:cs="Times New Roman"/>
          <w:b/>
          <w:bCs/>
          <w:sz w:val="24"/>
          <w:szCs w:val="24"/>
        </w:rPr>
        <w:t>ic</w:t>
      </w:r>
      <w:r w:rsidRPr="008E76FF">
        <w:rPr>
          <w:rFonts w:ascii="Times New Roman" w:hAnsi="Times New Roman" w:cs="Times New Roman"/>
          <w:b/>
          <w:bCs/>
          <w:sz w:val="24"/>
          <w:szCs w:val="24"/>
        </w:rPr>
        <w:t xml:space="preserve">a </w:t>
      </w:r>
      <w:r w:rsidR="006E4D2E">
        <w:rPr>
          <w:rFonts w:ascii="Times New Roman" w:hAnsi="Times New Roman" w:cs="Times New Roman"/>
          <w:b/>
          <w:bCs/>
          <w:sz w:val="24"/>
          <w:szCs w:val="24"/>
        </w:rPr>
        <w:t>sobre</w:t>
      </w:r>
      <w:r w:rsidRPr="008E76FF">
        <w:rPr>
          <w:rFonts w:ascii="Times New Roman" w:hAnsi="Times New Roman" w:cs="Times New Roman"/>
          <w:b/>
          <w:bCs/>
          <w:sz w:val="24"/>
          <w:szCs w:val="24"/>
        </w:rPr>
        <w:t xml:space="preserve"> inflación</w:t>
      </w:r>
      <w:r w:rsidR="006E4D2E">
        <w:rPr>
          <w:rFonts w:ascii="Times New Roman" w:hAnsi="Times New Roman" w:cs="Times New Roman"/>
          <w:b/>
          <w:bCs/>
          <w:sz w:val="24"/>
          <w:szCs w:val="24"/>
        </w:rPr>
        <w:t xml:space="preserve"> y política monetaria</w:t>
      </w:r>
    </w:p>
    <w:p w14:paraId="09D13345" w14:textId="07340345" w:rsidR="00A2537C" w:rsidRPr="00CF5719" w:rsidRDefault="00A2537C" w:rsidP="00CF571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2.1. La Curva de Phillips</w:t>
      </w:r>
    </w:p>
    <w:p w14:paraId="65DCE0F0" w14:textId="77777777" w:rsidR="00EB139A" w:rsidRDefault="00A63FDB" w:rsidP="00A97CDA">
      <w:pPr>
        <w:spacing w:line="360" w:lineRule="auto"/>
        <w:jc w:val="both"/>
        <w:rPr>
          <w:rFonts w:ascii="Times New Roman" w:hAnsi="Times New Roman" w:cs="Times New Roman"/>
          <w:sz w:val="24"/>
          <w:szCs w:val="24"/>
        </w:rPr>
      </w:pPr>
      <w:r>
        <w:rPr>
          <w:rFonts w:ascii="Times New Roman" w:hAnsi="Times New Roman" w:cs="Times New Roman"/>
          <w:sz w:val="24"/>
          <w:szCs w:val="24"/>
        </w:rPr>
        <w:t>El Sistema de la Reserva Federal (Fed) fue fundado en 1913 mediante una ley del Congreso de Estados Unidos, su misión original era “suministrar una moneda elástica</w:t>
      </w:r>
      <w:r w:rsidR="00E06C14">
        <w:rPr>
          <w:rFonts w:ascii="Times New Roman" w:hAnsi="Times New Roman" w:cs="Times New Roman"/>
          <w:sz w:val="24"/>
          <w:szCs w:val="24"/>
        </w:rPr>
        <w:t>”</w:t>
      </w:r>
      <w:r>
        <w:rPr>
          <w:rFonts w:ascii="Times New Roman" w:hAnsi="Times New Roman" w:cs="Times New Roman"/>
          <w:sz w:val="24"/>
          <w:szCs w:val="24"/>
        </w:rPr>
        <w:t xml:space="preserve">, es decir, una oferta de liquidez elástica. Como consecuencia de la Gran Depresión de los años 1930, el gobierno </w:t>
      </w:r>
      <w:r w:rsidR="00AA4C40">
        <w:rPr>
          <w:rFonts w:ascii="Times New Roman" w:hAnsi="Times New Roman" w:cs="Times New Roman"/>
          <w:sz w:val="24"/>
          <w:szCs w:val="24"/>
        </w:rPr>
        <w:t xml:space="preserve">asignó a </w:t>
      </w:r>
      <w:r>
        <w:rPr>
          <w:rFonts w:ascii="Times New Roman" w:hAnsi="Times New Roman" w:cs="Times New Roman"/>
          <w:sz w:val="24"/>
          <w:szCs w:val="24"/>
        </w:rPr>
        <w:t xml:space="preserve">Fed </w:t>
      </w:r>
      <w:r w:rsidR="00AA4C40">
        <w:rPr>
          <w:rFonts w:ascii="Times New Roman" w:hAnsi="Times New Roman" w:cs="Times New Roman"/>
          <w:sz w:val="24"/>
          <w:szCs w:val="24"/>
        </w:rPr>
        <w:t xml:space="preserve">la </w:t>
      </w:r>
      <w:r>
        <w:rPr>
          <w:rFonts w:ascii="Times New Roman" w:hAnsi="Times New Roman" w:cs="Times New Roman"/>
          <w:sz w:val="24"/>
          <w:szCs w:val="24"/>
        </w:rPr>
        <w:t>responsabili</w:t>
      </w:r>
      <w:r w:rsidR="00AA4C40">
        <w:rPr>
          <w:rFonts w:ascii="Times New Roman" w:hAnsi="Times New Roman" w:cs="Times New Roman"/>
          <w:sz w:val="24"/>
          <w:szCs w:val="24"/>
        </w:rPr>
        <w:t>dad</w:t>
      </w:r>
      <w:r>
        <w:rPr>
          <w:rFonts w:ascii="Times New Roman" w:hAnsi="Times New Roman" w:cs="Times New Roman"/>
          <w:sz w:val="24"/>
          <w:szCs w:val="24"/>
        </w:rPr>
        <w:t xml:space="preserve"> de </w:t>
      </w:r>
      <w:r w:rsidR="00E06C14">
        <w:rPr>
          <w:rFonts w:ascii="Times New Roman" w:hAnsi="Times New Roman" w:cs="Times New Roman"/>
          <w:sz w:val="24"/>
          <w:szCs w:val="24"/>
        </w:rPr>
        <w:t xml:space="preserve">procurar </w:t>
      </w:r>
      <w:r w:rsidR="00AA4C40">
        <w:rPr>
          <w:rFonts w:ascii="Times New Roman" w:hAnsi="Times New Roman" w:cs="Times New Roman"/>
          <w:sz w:val="24"/>
          <w:szCs w:val="24"/>
        </w:rPr>
        <w:t>la estabilización macroeconómica</w:t>
      </w:r>
      <w:r w:rsidR="00E06C14" w:rsidRPr="00E06C14">
        <w:rPr>
          <w:rFonts w:ascii="Times New Roman" w:hAnsi="Times New Roman" w:cs="Times New Roman"/>
          <w:sz w:val="24"/>
          <w:szCs w:val="24"/>
        </w:rPr>
        <w:t xml:space="preserve"> </w:t>
      </w:r>
      <w:r w:rsidR="00E06C14">
        <w:rPr>
          <w:rFonts w:ascii="Times New Roman" w:hAnsi="Times New Roman" w:cs="Times New Roman"/>
          <w:sz w:val="24"/>
          <w:szCs w:val="24"/>
        </w:rPr>
        <w:t>a través de la política monetaria.</w:t>
      </w:r>
      <w:r w:rsidR="00192012">
        <w:rPr>
          <w:rFonts w:ascii="Times New Roman" w:hAnsi="Times New Roman" w:cs="Times New Roman"/>
          <w:sz w:val="24"/>
          <w:szCs w:val="24"/>
        </w:rPr>
        <w:t xml:space="preserve"> </w:t>
      </w:r>
    </w:p>
    <w:p w14:paraId="78D2EF14" w14:textId="74BB2A31" w:rsidR="00255512" w:rsidRDefault="00192012" w:rsidP="002555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este modo, desde los años 1940 la Fed opera con un mandato dual de pleno empleo y estabilidad de precios, objetivos que ha perseguido a lo largo de la historia </w:t>
      </w:r>
      <w:r w:rsidR="00EB139A">
        <w:rPr>
          <w:rFonts w:ascii="Times New Roman" w:hAnsi="Times New Roman" w:cs="Times New Roman"/>
          <w:sz w:val="24"/>
          <w:szCs w:val="24"/>
        </w:rPr>
        <w:t xml:space="preserve">hasta el presente </w:t>
      </w:r>
      <w:r>
        <w:rPr>
          <w:rFonts w:ascii="Times New Roman" w:hAnsi="Times New Roman" w:cs="Times New Roman"/>
          <w:sz w:val="24"/>
          <w:szCs w:val="24"/>
        </w:rPr>
        <w:t>mediante diversos instrumentos, a saber: metas de agregados monetarios, de tasas de interés</w:t>
      </w:r>
      <w:r w:rsidR="00EB139A">
        <w:rPr>
          <w:rFonts w:ascii="Times New Roman" w:hAnsi="Times New Roman" w:cs="Times New Roman"/>
          <w:sz w:val="24"/>
          <w:szCs w:val="24"/>
        </w:rPr>
        <w:t>,</w:t>
      </w:r>
      <w:r>
        <w:rPr>
          <w:rFonts w:ascii="Times New Roman" w:hAnsi="Times New Roman" w:cs="Times New Roman"/>
          <w:sz w:val="24"/>
          <w:szCs w:val="24"/>
        </w:rPr>
        <w:t xml:space="preserve"> </w:t>
      </w:r>
      <w:r w:rsidR="00EB139A">
        <w:rPr>
          <w:rFonts w:ascii="Times New Roman" w:hAnsi="Times New Roman" w:cs="Times New Roman"/>
          <w:sz w:val="24"/>
          <w:szCs w:val="24"/>
        </w:rPr>
        <w:t xml:space="preserve">operaciones de mercado abierto, </w:t>
      </w:r>
      <w:r>
        <w:rPr>
          <w:rFonts w:ascii="Times New Roman" w:hAnsi="Times New Roman" w:cs="Times New Roman"/>
          <w:sz w:val="24"/>
          <w:szCs w:val="24"/>
        </w:rPr>
        <w:t>creación de reservas monetarias (</w:t>
      </w:r>
      <w:proofErr w:type="spellStart"/>
      <w:r>
        <w:rPr>
          <w:rFonts w:ascii="Times New Roman" w:hAnsi="Times New Roman" w:cs="Times New Roman"/>
          <w:sz w:val="24"/>
          <w:szCs w:val="24"/>
        </w:rPr>
        <w:t>Hetzel</w:t>
      </w:r>
      <w:proofErr w:type="spellEnd"/>
      <w:r>
        <w:rPr>
          <w:rFonts w:ascii="Times New Roman" w:hAnsi="Times New Roman" w:cs="Times New Roman"/>
          <w:sz w:val="24"/>
          <w:szCs w:val="24"/>
        </w:rPr>
        <w:t>, 2008)</w:t>
      </w:r>
      <w:r w:rsidR="00EB139A">
        <w:rPr>
          <w:rFonts w:ascii="Times New Roman" w:hAnsi="Times New Roman" w:cs="Times New Roman"/>
          <w:sz w:val="24"/>
          <w:szCs w:val="24"/>
        </w:rPr>
        <w:t xml:space="preserve"> y, más recientemente, flexibilización cuantitativa, compra masiva de activos financieros y movimientos de la hoja de balance</w:t>
      </w:r>
      <w:r>
        <w:rPr>
          <w:rFonts w:ascii="Times New Roman" w:hAnsi="Times New Roman" w:cs="Times New Roman"/>
          <w:sz w:val="24"/>
          <w:szCs w:val="24"/>
        </w:rPr>
        <w:t>.</w:t>
      </w:r>
    </w:p>
    <w:p w14:paraId="6BF49F6F" w14:textId="66902D2E" w:rsidR="007204DA" w:rsidRDefault="007204DA" w:rsidP="0025551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255512">
        <w:rPr>
          <w:rFonts w:ascii="Times New Roman" w:hAnsi="Times New Roman" w:cs="Times New Roman"/>
          <w:sz w:val="24"/>
          <w:szCs w:val="24"/>
        </w:rPr>
        <w:t xml:space="preserve">a determinación de la tasa de inflación </w:t>
      </w:r>
      <w:r>
        <w:rPr>
          <w:rFonts w:ascii="Times New Roman" w:hAnsi="Times New Roman" w:cs="Times New Roman"/>
          <w:sz w:val="24"/>
          <w:szCs w:val="24"/>
        </w:rPr>
        <w:t>frecuentemente se presenta en los términos de la teoría cuantitativa del dinero: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1A44D5" w:rsidRPr="00427C3A" w14:paraId="7E727926" w14:textId="77777777" w:rsidTr="00FC72FD">
        <w:tc>
          <w:tcPr>
            <w:tcW w:w="8330" w:type="dxa"/>
            <w:vAlign w:val="center"/>
          </w:tcPr>
          <w:p w14:paraId="3C1DC2A7" w14:textId="34A5FD22" w:rsidR="001A44D5" w:rsidRPr="00427C3A" w:rsidRDefault="00EF21D7" w:rsidP="00FC72FD">
            <w:pPr>
              <w:spacing w:before="120" w:after="120" w:line="360" w:lineRule="auto"/>
              <w:jc w:val="both"/>
              <w:rPr>
                <w:rFonts w:ascii="Times New Roman" w:hAnsi="Times New Roman"/>
                <w:sz w:val="24"/>
                <w:szCs w:val="24"/>
              </w:rPr>
            </w:pPr>
            <m:oMathPara>
              <m:oMathParaPr>
                <m:jc m:val="center"/>
              </m:oMathParaPr>
              <m:oMath>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m</m:t>
                    </m:r>
                  </m:e>
                </m:acc>
                <m:r>
                  <w:rPr>
                    <w:rFonts w:ascii="Cambria Math" w:hAnsi="Cambria Math" w:cs="Times New Roman"/>
                    <w:sz w:val="24"/>
                    <w:szCs w:val="24"/>
                  </w:rPr>
                  <m:t>-g</m:t>
                </m:r>
              </m:oMath>
            </m:oMathPara>
          </w:p>
        </w:tc>
        <w:tc>
          <w:tcPr>
            <w:tcW w:w="648" w:type="dxa"/>
            <w:vAlign w:val="center"/>
          </w:tcPr>
          <w:p w14:paraId="5CC14B4C" w14:textId="3B8E476B" w:rsidR="001A44D5" w:rsidRPr="00427C3A" w:rsidRDefault="001A44D5" w:rsidP="00FC72FD">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Pr>
                <w:rFonts w:ascii="Times New Roman" w:hAnsi="Times New Roman"/>
                <w:sz w:val="24"/>
                <w:szCs w:val="24"/>
              </w:rPr>
              <w:t>1</w:t>
            </w:r>
            <w:r w:rsidRPr="00427C3A">
              <w:rPr>
                <w:rFonts w:ascii="Times New Roman" w:hAnsi="Times New Roman"/>
                <w:sz w:val="24"/>
                <w:szCs w:val="24"/>
              </w:rPr>
              <w:t>)</w:t>
            </w:r>
          </w:p>
        </w:tc>
      </w:tr>
    </w:tbl>
    <w:p w14:paraId="75DD6B61" w14:textId="26EC6A15" w:rsidR="007204DA" w:rsidRDefault="007204DA" w:rsidP="007204DA">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w:t>
      </w:r>
      <m:oMath>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m</m:t>
            </m:r>
          </m:e>
        </m:acc>
        <m:r>
          <w:rPr>
            <w:rFonts w:ascii="Cambria Math" w:hAnsi="Cambria Math" w:cs="Times New Roman"/>
            <w:sz w:val="24"/>
            <w:szCs w:val="24"/>
          </w:rPr>
          <m:t xml:space="preserve"> </m:t>
        </m:r>
        <m:r>
          <m:rPr>
            <m:sty m:val="p"/>
          </m:rPr>
          <w:rPr>
            <w:rFonts w:ascii="Cambria Math" w:hAnsi="Cambria Math" w:cs="Times New Roman"/>
            <w:sz w:val="24"/>
            <w:szCs w:val="24"/>
          </w:rPr>
          <m:t>y</m:t>
        </m:r>
        <m:r>
          <w:rPr>
            <w:rFonts w:ascii="Cambria Math" w:hAnsi="Cambria Math" w:cs="Times New Roman"/>
            <w:sz w:val="24"/>
            <w:szCs w:val="24"/>
          </w:rPr>
          <m:t xml:space="preserve"> g</m:t>
        </m:r>
      </m:oMath>
      <w:r>
        <w:rPr>
          <w:rFonts w:ascii="Times New Roman" w:eastAsiaTheme="minorEastAsia" w:hAnsi="Times New Roman" w:cs="Times New Roman"/>
          <w:sz w:val="24"/>
          <w:szCs w:val="24"/>
        </w:rPr>
        <w:t xml:space="preserve"> denotan </w:t>
      </w:r>
      <w:r w:rsidR="00DB52F1">
        <w:rPr>
          <w:rFonts w:ascii="Times New Roman" w:eastAsiaTheme="minorEastAsia" w:hAnsi="Times New Roman" w:cs="Times New Roman"/>
          <w:sz w:val="24"/>
          <w:szCs w:val="24"/>
        </w:rPr>
        <w:t xml:space="preserve">la tasa de inflación, el crecimiento de la oferta monetaria y el crecimiento del producto real. </w:t>
      </w:r>
      <w:r w:rsidR="00337E1D">
        <w:rPr>
          <w:rFonts w:ascii="Times New Roman" w:eastAsiaTheme="minorEastAsia" w:hAnsi="Times New Roman" w:cs="Times New Roman"/>
          <w:sz w:val="24"/>
          <w:szCs w:val="24"/>
        </w:rPr>
        <w:t xml:space="preserve">El análisis moderno de la inflación suele formularse con </w:t>
      </w:r>
      <w:r w:rsidR="00337E1D">
        <w:rPr>
          <w:rFonts w:ascii="Times New Roman" w:eastAsiaTheme="minorEastAsia" w:hAnsi="Times New Roman" w:cs="Times New Roman"/>
          <w:sz w:val="24"/>
          <w:szCs w:val="24"/>
        </w:rPr>
        <w:lastRenderedPageBreak/>
        <w:t>alguna suerte de la Curva de Phillips,</w:t>
      </w:r>
      <w:r w:rsidR="00337E1D" w:rsidRPr="00337E1D">
        <w:rPr>
          <w:rFonts w:ascii="Times New Roman" w:eastAsiaTheme="minorEastAsia" w:hAnsi="Times New Roman" w:cs="Times New Roman"/>
          <w:sz w:val="24"/>
          <w:szCs w:val="24"/>
        </w:rPr>
        <w:t xml:space="preserve"> </w:t>
      </w:r>
      <w:r w:rsidR="00337E1D">
        <w:rPr>
          <w:rFonts w:ascii="Times New Roman" w:eastAsiaTheme="minorEastAsia" w:hAnsi="Times New Roman" w:cs="Times New Roman"/>
          <w:sz w:val="24"/>
          <w:szCs w:val="24"/>
        </w:rPr>
        <w:t xml:space="preserve">de la que existen </w:t>
      </w:r>
      <w:r w:rsidR="00DA4FBC">
        <w:rPr>
          <w:rFonts w:ascii="Times New Roman" w:eastAsiaTheme="minorEastAsia" w:hAnsi="Times New Roman" w:cs="Times New Roman"/>
          <w:sz w:val="24"/>
          <w:szCs w:val="24"/>
        </w:rPr>
        <w:t>versión</w:t>
      </w:r>
      <w:r w:rsidR="00337E1D">
        <w:rPr>
          <w:rFonts w:ascii="Times New Roman" w:eastAsiaTheme="minorEastAsia" w:hAnsi="Times New Roman" w:cs="Times New Roman"/>
          <w:sz w:val="24"/>
          <w:szCs w:val="24"/>
        </w:rPr>
        <w:t xml:space="preserve"> keynesiana (Samuelson y Solow, 1960; </w:t>
      </w:r>
      <w:proofErr w:type="spellStart"/>
      <w:r w:rsidR="00337E1D">
        <w:rPr>
          <w:rFonts w:ascii="Times New Roman" w:eastAsiaTheme="minorEastAsia" w:hAnsi="Times New Roman" w:cs="Times New Roman"/>
          <w:sz w:val="24"/>
          <w:szCs w:val="24"/>
        </w:rPr>
        <w:t>Lipsey</w:t>
      </w:r>
      <w:proofErr w:type="spellEnd"/>
      <w:r w:rsidR="00337E1D">
        <w:rPr>
          <w:rFonts w:ascii="Times New Roman" w:eastAsiaTheme="minorEastAsia" w:hAnsi="Times New Roman" w:cs="Times New Roman"/>
          <w:sz w:val="24"/>
          <w:szCs w:val="24"/>
        </w:rPr>
        <w:t>, 1960), monetarista (Friedman, 1968</w:t>
      </w:r>
      <w:r w:rsidR="00A2537C">
        <w:rPr>
          <w:rFonts w:ascii="Times New Roman" w:eastAsiaTheme="minorEastAsia" w:hAnsi="Times New Roman" w:cs="Times New Roman"/>
          <w:sz w:val="24"/>
          <w:szCs w:val="24"/>
        </w:rPr>
        <w:t>,</w:t>
      </w:r>
      <w:r w:rsidR="00337E1D">
        <w:rPr>
          <w:rFonts w:ascii="Times New Roman" w:eastAsiaTheme="minorEastAsia" w:hAnsi="Times New Roman" w:cs="Times New Roman"/>
          <w:sz w:val="24"/>
          <w:szCs w:val="24"/>
        </w:rPr>
        <w:t xml:space="preserve"> 197</w:t>
      </w:r>
      <w:r w:rsidR="00742173">
        <w:rPr>
          <w:rFonts w:ascii="Times New Roman" w:eastAsiaTheme="minorEastAsia" w:hAnsi="Times New Roman" w:cs="Times New Roman"/>
          <w:sz w:val="24"/>
          <w:szCs w:val="24"/>
        </w:rPr>
        <w:t>7</w:t>
      </w:r>
      <w:r w:rsidR="00337E1D">
        <w:rPr>
          <w:rFonts w:ascii="Times New Roman" w:eastAsiaTheme="minorEastAsia" w:hAnsi="Times New Roman" w:cs="Times New Roman"/>
          <w:sz w:val="24"/>
          <w:szCs w:val="24"/>
        </w:rPr>
        <w:t xml:space="preserve">; Phelps, 1967, 1968) o nuevo Keynesiana. </w:t>
      </w:r>
      <w:r w:rsidR="00DB52F1">
        <w:rPr>
          <w:rFonts w:ascii="Times New Roman" w:eastAsiaTheme="minorEastAsia" w:hAnsi="Times New Roman" w:cs="Times New Roman"/>
          <w:sz w:val="24"/>
          <w:szCs w:val="24"/>
        </w:rPr>
        <w:t xml:space="preserve">Phillips (1958) estimó la relación de largo plazo entre la tasa de desempleo </w:t>
      </w:r>
      <w:r w:rsidR="00E739DF">
        <w:rPr>
          <w:rFonts w:ascii="Times New Roman" w:eastAsiaTheme="minorEastAsia" w:hAnsi="Times New Roman" w:cs="Times New Roman"/>
          <w:sz w:val="24"/>
          <w:szCs w:val="24"/>
        </w:rPr>
        <w:t>(</w:t>
      </w:r>
      <w:r w:rsidR="00E739DF" w:rsidRPr="00E739DF">
        <w:rPr>
          <w:rFonts w:ascii="Times New Roman" w:eastAsiaTheme="minorEastAsia" w:hAnsi="Times New Roman" w:cs="Times New Roman"/>
          <w:i/>
          <w:iCs/>
          <w:sz w:val="24"/>
          <w:szCs w:val="24"/>
        </w:rPr>
        <w:t>u</w:t>
      </w:r>
      <w:r w:rsidR="00E739DF">
        <w:rPr>
          <w:rFonts w:ascii="Times New Roman" w:eastAsiaTheme="minorEastAsia" w:hAnsi="Times New Roman" w:cs="Times New Roman"/>
          <w:sz w:val="24"/>
          <w:szCs w:val="24"/>
        </w:rPr>
        <w:t xml:space="preserve">) </w:t>
      </w:r>
      <w:r w:rsidR="00DB52F1">
        <w:rPr>
          <w:rFonts w:ascii="Times New Roman" w:eastAsiaTheme="minorEastAsia" w:hAnsi="Times New Roman" w:cs="Times New Roman"/>
          <w:sz w:val="24"/>
          <w:szCs w:val="24"/>
        </w:rPr>
        <w:t>y la dinámica o tasa de variación de los salarios nominales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e>
          <m:sub>
            <m:r>
              <w:rPr>
                <w:rFonts w:ascii="Cambria Math" w:eastAsiaTheme="minorEastAsia" w:hAnsi="Cambria Math" w:cs="Times New Roman"/>
                <w:sz w:val="24"/>
                <w:szCs w:val="24"/>
              </w:rPr>
              <m:t>n</m:t>
            </m:r>
          </m:sub>
        </m:sSub>
      </m:oMath>
      <w:r w:rsidR="00DB52F1">
        <w:rPr>
          <w:rFonts w:ascii="Times New Roman" w:eastAsiaTheme="minorEastAsia" w:hAnsi="Times New Roman" w:cs="Times New Roman"/>
          <w:sz w:val="24"/>
          <w:szCs w:val="24"/>
        </w:rPr>
        <w:t>)</w:t>
      </w:r>
      <w:r w:rsidR="00E739DF">
        <w:rPr>
          <w:rFonts w:ascii="Times New Roman" w:eastAsiaTheme="minorEastAsia" w:hAnsi="Times New Roman" w:cs="Times New Roman"/>
          <w:sz w:val="24"/>
          <w:szCs w:val="24"/>
        </w:rPr>
        <w:t xml:space="preserve">. </w:t>
      </w:r>
      <w:r w:rsidR="000C3E32">
        <w:rPr>
          <w:rFonts w:ascii="Times New Roman" w:eastAsiaTheme="minorEastAsia" w:hAnsi="Times New Roman" w:cs="Times New Roman"/>
          <w:sz w:val="24"/>
          <w:szCs w:val="24"/>
        </w:rPr>
        <w:t>Los</w:t>
      </w:r>
      <w:r w:rsidR="00E739DF">
        <w:rPr>
          <w:rFonts w:ascii="Times New Roman" w:eastAsiaTheme="minorEastAsia" w:hAnsi="Times New Roman" w:cs="Times New Roman"/>
          <w:sz w:val="24"/>
          <w:szCs w:val="24"/>
        </w:rPr>
        <w:t xml:space="preserve"> resultado</w:t>
      </w:r>
      <w:r w:rsidR="000C3E32">
        <w:rPr>
          <w:rFonts w:ascii="Times New Roman" w:eastAsiaTheme="minorEastAsia" w:hAnsi="Times New Roman" w:cs="Times New Roman"/>
          <w:sz w:val="24"/>
          <w:szCs w:val="24"/>
        </w:rPr>
        <w:t>s</w:t>
      </w:r>
      <w:r w:rsidR="00E739DF">
        <w:rPr>
          <w:rFonts w:ascii="Times New Roman" w:eastAsiaTheme="minorEastAsia" w:hAnsi="Times New Roman" w:cs="Times New Roman"/>
          <w:sz w:val="24"/>
          <w:szCs w:val="24"/>
        </w:rPr>
        <w:t xml:space="preserve"> principal</w:t>
      </w:r>
      <w:r w:rsidR="000C3E32">
        <w:rPr>
          <w:rFonts w:ascii="Times New Roman" w:eastAsiaTheme="minorEastAsia" w:hAnsi="Times New Roman" w:cs="Times New Roman"/>
          <w:sz w:val="24"/>
          <w:szCs w:val="24"/>
        </w:rPr>
        <w:t>es</w:t>
      </w:r>
      <w:r w:rsidR="00E739DF">
        <w:rPr>
          <w:rFonts w:ascii="Times New Roman" w:eastAsiaTheme="minorEastAsia" w:hAnsi="Times New Roman" w:cs="Times New Roman"/>
          <w:sz w:val="24"/>
          <w:szCs w:val="24"/>
        </w:rPr>
        <w:t xml:space="preserve"> de Phillips (1958</w:t>
      </w:r>
      <w:r w:rsidR="000C3E32">
        <w:rPr>
          <w:rFonts w:ascii="Times New Roman" w:eastAsiaTheme="minorEastAsia" w:hAnsi="Times New Roman" w:cs="Times New Roman"/>
          <w:sz w:val="24"/>
          <w:szCs w:val="24"/>
        </w:rPr>
        <w:t>:283</w:t>
      </w:r>
      <w:r w:rsidR="00E739DF">
        <w:rPr>
          <w:rFonts w:ascii="Times New Roman" w:eastAsiaTheme="minorEastAsia" w:hAnsi="Times New Roman" w:cs="Times New Roman"/>
          <w:sz w:val="24"/>
          <w:szCs w:val="24"/>
        </w:rPr>
        <w:t>)</w:t>
      </w:r>
      <w:r w:rsidR="000C3E32">
        <w:rPr>
          <w:rFonts w:ascii="Times New Roman" w:eastAsiaTheme="minorEastAsia" w:hAnsi="Times New Roman" w:cs="Times New Roman"/>
          <w:sz w:val="24"/>
          <w:szCs w:val="24"/>
        </w:rPr>
        <w:t>, en síntesis,</w:t>
      </w:r>
      <w:r w:rsidR="00E739DF">
        <w:rPr>
          <w:rFonts w:ascii="Times New Roman" w:eastAsiaTheme="minorEastAsia" w:hAnsi="Times New Roman" w:cs="Times New Roman"/>
          <w:sz w:val="24"/>
          <w:szCs w:val="24"/>
        </w:rPr>
        <w:t xml:space="preserve"> fue</w:t>
      </w:r>
      <w:r w:rsidR="000C3E32">
        <w:rPr>
          <w:rFonts w:ascii="Times New Roman" w:eastAsiaTheme="minorEastAsia" w:hAnsi="Times New Roman" w:cs="Times New Roman"/>
          <w:sz w:val="24"/>
          <w:szCs w:val="24"/>
        </w:rPr>
        <w:t>ron:</w:t>
      </w:r>
      <w:r w:rsidR="00E739DF">
        <w:rPr>
          <w:rFonts w:ascii="Times New Roman" w:eastAsiaTheme="minorEastAsia" w:hAnsi="Times New Roman" w:cs="Times New Roman"/>
          <w:sz w:val="24"/>
          <w:szCs w:val="24"/>
        </w:rPr>
        <w:t xml:space="preserve"> </w:t>
      </w:r>
      <w:r w:rsidR="000C3E32">
        <w:rPr>
          <w:rFonts w:ascii="Times New Roman" w:eastAsiaTheme="minorEastAsia" w:hAnsi="Times New Roman" w:cs="Times New Roman"/>
          <w:sz w:val="24"/>
          <w:szCs w:val="24"/>
        </w:rPr>
        <w:t xml:space="preserve">las condiciones estructurales e institucionales del mercado de trabajo influyen en la dinámica de los salarios nominales y </w:t>
      </w:r>
      <w:r w:rsidR="00E739DF">
        <w:rPr>
          <w:rFonts w:ascii="Times New Roman" w:eastAsiaTheme="minorEastAsia" w:hAnsi="Times New Roman" w:cs="Times New Roman"/>
          <w:sz w:val="24"/>
          <w:szCs w:val="24"/>
        </w:rPr>
        <w:t>existe una relación inversa</w:t>
      </w:r>
      <w:r w:rsidR="000C3E32">
        <w:rPr>
          <w:rFonts w:ascii="Times New Roman" w:eastAsiaTheme="minorEastAsia" w:hAnsi="Times New Roman" w:cs="Times New Roman"/>
          <w:sz w:val="24"/>
          <w:szCs w:val="24"/>
        </w:rPr>
        <w:t xml:space="preserve"> (no lineal)</w:t>
      </w:r>
      <w:r w:rsidR="00E739DF">
        <w:rPr>
          <w:rFonts w:ascii="Times New Roman" w:eastAsiaTheme="minorEastAsia" w:hAnsi="Times New Roman" w:cs="Times New Roman"/>
          <w:sz w:val="24"/>
          <w:szCs w:val="24"/>
        </w:rPr>
        <w:t xml:space="preserve"> entre ambas variables: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1A44D5" w:rsidRPr="00427C3A" w14:paraId="222BC64D" w14:textId="77777777" w:rsidTr="00FC72FD">
        <w:tc>
          <w:tcPr>
            <w:tcW w:w="8330" w:type="dxa"/>
            <w:vAlign w:val="center"/>
          </w:tcPr>
          <w:p w14:paraId="5AF6751C" w14:textId="63931CCB" w:rsidR="001A44D5" w:rsidRPr="00427C3A" w:rsidRDefault="00EF21D7" w:rsidP="00FC72FD">
            <w:pPr>
              <w:spacing w:before="120" w:after="120" w:line="360" w:lineRule="auto"/>
              <w:jc w:val="both"/>
              <w:rPr>
                <w:rFonts w:ascii="Times New Roman" w:hAnsi="Times New Roman"/>
                <w:sz w:val="24"/>
                <w:szCs w:val="24"/>
              </w:rPr>
            </w:pPr>
            <m:oMathPara>
              <m:oMathParaPr>
                <m:jc m:val="center"/>
              </m:oMathParaPr>
              <m:oMath>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n</m:t>
                        </m:r>
                      </m:sub>
                    </m:sSub>
                  </m:e>
                </m:acc>
                <m:r>
                  <w:rPr>
                    <w:rFonts w:ascii="Cambria Math" w:eastAsiaTheme="minorEastAsia" w:hAnsi="Cambria Math" w:cs="Times New Roman"/>
                    <w:sz w:val="24"/>
                    <w:szCs w:val="24"/>
                  </w:rPr>
                  <m:t>=-α(u-</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r>
                  <w:rPr>
                    <w:rFonts w:ascii="Cambria Math" w:eastAsiaTheme="minorEastAsia" w:hAnsi="Cambria Math" w:cs="Times New Roman"/>
                    <w:sz w:val="24"/>
                    <w:szCs w:val="24"/>
                  </w:rPr>
                  <m:t>)</m:t>
                </m:r>
              </m:oMath>
            </m:oMathPara>
          </w:p>
        </w:tc>
        <w:tc>
          <w:tcPr>
            <w:tcW w:w="648" w:type="dxa"/>
            <w:vAlign w:val="center"/>
          </w:tcPr>
          <w:p w14:paraId="3BF78811" w14:textId="14CA9338" w:rsidR="001A44D5" w:rsidRPr="00427C3A" w:rsidRDefault="001A44D5" w:rsidP="00FC72FD">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Pr>
                <w:rFonts w:ascii="Times New Roman" w:hAnsi="Times New Roman"/>
                <w:sz w:val="24"/>
                <w:szCs w:val="24"/>
              </w:rPr>
              <w:t>2</w:t>
            </w:r>
            <w:r w:rsidRPr="00427C3A">
              <w:rPr>
                <w:rFonts w:ascii="Times New Roman" w:hAnsi="Times New Roman"/>
                <w:sz w:val="24"/>
                <w:szCs w:val="24"/>
              </w:rPr>
              <w:t>)</w:t>
            </w:r>
          </w:p>
        </w:tc>
      </w:tr>
    </w:tbl>
    <w:p w14:paraId="739D3572" w14:textId="3B303EAD" w:rsidR="00E739DF" w:rsidRPr="00E739DF" w:rsidRDefault="001A44D5" w:rsidP="000F2607">
      <w:pPr>
        <w:spacing w:line="360" w:lineRule="auto"/>
        <w:jc w:val="both"/>
        <w:rPr>
          <w:rFonts w:ascii="Times New Roman" w:eastAsiaTheme="minorEastAsia" w:hAnsi="Times New Roman" w:cs="Times New Roman"/>
          <w:sz w:val="24"/>
          <w:szCs w:val="24"/>
        </w:rPr>
      </w:pPr>
      <w:r>
        <w:rPr>
          <w:rFonts w:eastAsiaTheme="minorEastAsia"/>
          <w:sz w:val="24"/>
          <w:szCs w:val="24"/>
        </w:rPr>
        <w:t xml:space="preserve">En esta expresión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u</m:t>
            </m:r>
          </m:e>
        </m:acc>
      </m:oMath>
      <w:r w:rsidR="00E739DF">
        <w:rPr>
          <w:rFonts w:ascii="Times New Roman" w:eastAsiaTheme="minorEastAsia" w:hAnsi="Times New Roman" w:cs="Times New Roman"/>
          <w:sz w:val="24"/>
          <w:szCs w:val="24"/>
        </w:rPr>
        <w:t xml:space="preserve"> representa la tasa de desempleo promedio del ciclo económico, </w:t>
      </w:r>
      <w:r w:rsidR="00EC2CCB">
        <w:rPr>
          <w:rFonts w:ascii="Times New Roman" w:eastAsiaTheme="minorEastAsia" w:hAnsi="Times New Roman" w:cs="Times New Roman"/>
          <w:sz w:val="24"/>
          <w:szCs w:val="24"/>
        </w:rPr>
        <w:t xml:space="preserve">para Phillips </w:t>
      </w:r>
      <w:r w:rsidR="000C3E32">
        <w:rPr>
          <w:rFonts w:ascii="Times New Roman" w:eastAsiaTheme="minorEastAsia" w:hAnsi="Times New Roman" w:cs="Times New Roman"/>
          <w:sz w:val="24"/>
          <w:szCs w:val="24"/>
        </w:rPr>
        <w:t>no es una tasa de desempleo de equilibrio ni de pleno empleo.</w:t>
      </w:r>
    </w:p>
    <w:p w14:paraId="572174A1" w14:textId="323202AE" w:rsidR="00BC3C43" w:rsidRDefault="00EC2CCB" w:rsidP="00BC3C43">
      <w:pPr>
        <w:spacing w:line="360" w:lineRule="auto"/>
        <w:ind w:firstLine="708"/>
        <w:jc w:val="both"/>
        <w:rPr>
          <w:rFonts w:ascii="Times New Roman" w:hAnsi="Times New Roman" w:cs="Times New Roman"/>
          <w:sz w:val="24"/>
          <w:szCs w:val="24"/>
        </w:rPr>
      </w:pPr>
      <w:proofErr w:type="spellStart"/>
      <w:r w:rsidRPr="00EC2CCB">
        <w:rPr>
          <w:rFonts w:ascii="Times New Roman" w:hAnsi="Times New Roman" w:cs="Times New Roman"/>
          <w:sz w:val="24"/>
          <w:szCs w:val="24"/>
        </w:rPr>
        <w:t>Lipsey</w:t>
      </w:r>
      <w:proofErr w:type="spellEnd"/>
      <w:r w:rsidRPr="00EC2CCB">
        <w:rPr>
          <w:rFonts w:ascii="Times New Roman" w:hAnsi="Times New Roman" w:cs="Times New Roman"/>
          <w:sz w:val="24"/>
          <w:szCs w:val="24"/>
        </w:rPr>
        <w:t xml:space="preserve"> (1960) reformuló la Curva d</w:t>
      </w:r>
      <w:r>
        <w:rPr>
          <w:rFonts w:ascii="Times New Roman" w:hAnsi="Times New Roman" w:cs="Times New Roman"/>
          <w:sz w:val="24"/>
          <w:szCs w:val="24"/>
        </w:rPr>
        <w:t>e Phillips al proponer que el incremento de los salarios nominales depende del exceso de demanda de trabajo y Friedman (1968, 1977) introdujo expectativas adaptativas y estableció una relación de causalidad en la que la política económica genera inflación sorpresiva, altera las expectativas de salarios e induce cambios en la tasa de desempleo que finalmente se traducen en inflación</w:t>
      </w:r>
      <w:r w:rsidR="00BC3C43">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1A44D5" w:rsidRPr="00427C3A" w14:paraId="542D747F" w14:textId="77777777" w:rsidTr="00FC72FD">
        <w:tc>
          <w:tcPr>
            <w:tcW w:w="8330" w:type="dxa"/>
            <w:vAlign w:val="center"/>
          </w:tcPr>
          <w:p w14:paraId="7C6A4DAC" w14:textId="714D8423" w:rsidR="001A44D5" w:rsidRPr="00427C3A" w:rsidRDefault="00EF21D7" w:rsidP="00FC72FD">
            <w:pPr>
              <w:spacing w:before="120" w:after="120" w:line="360" w:lineRule="auto"/>
              <w:jc w:val="both"/>
              <w:rPr>
                <w:rFonts w:ascii="Times New Roman" w:hAnsi="Times New Roman"/>
                <w:sz w:val="24"/>
                <w:szCs w:val="24"/>
              </w:rPr>
            </w:pPr>
            <m:oMathPara>
              <m:oMathParaPr>
                <m:jc m:val="center"/>
              </m:oMathPara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w</m:t>
                        </m:r>
                      </m:e>
                    </m:acc>
                  </m:e>
                  <m:sub>
                    <m:r>
                      <w:rPr>
                        <w:rFonts w:ascii="Cambria Math" w:hAnsi="Cambria Math" w:cs="Times New Roman"/>
                        <w:sz w:val="24"/>
                        <w:szCs w:val="24"/>
                      </w:rPr>
                      <m:t>n</m:t>
                    </m:r>
                  </m:sub>
                </m:sSub>
                <m:r>
                  <w:rPr>
                    <w:rFonts w:ascii="Cambria Math" w:hAnsi="Cambria Math" w:cs="Times New Roman"/>
                    <w:sz w:val="24"/>
                    <w:szCs w:val="24"/>
                  </w:rPr>
                  <m:t>=-α</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r>
                      <w:rPr>
                        <w:rFonts w:ascii="Cambria Math" w:hAnsi="Cambria Math" w:cs="Times New Roman"/>
                        <w:sz w:val="24"/>
                        <w:szCs w:val="24"/>
                      </w:rPr>
                      <m:t>-u</m:t>
                    </m:r>
                  </m:e>
                </m:d>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p</m:t>
                        </m:r>
                      </m:e>
                    </m:acc>
                  </m:e>
                  <m:sub>
                    <m:r>
                      <w:rPr>
                        <w:rFonts w:ascii="Cambria Math" w:hAnsi="Cambria Math" w:cs="Times New Roman"/>
                        <w:sz w:val="24"/>
                        <w:szCs w:val="24"/>
                      </w:rPr>
                      <m:t>t-1</m:t>
                    </m:r>
                  </m:sub>
                </m:sSub>
              </m:oMath>
            </m:oMathPara>
          </w:p>
        </w:tc>
        <w:tc>
          <w:tcPr>
            <w:tcW w:w="648" w:type="dxa"/>
            <w:vAlign w:val="center"/>
          </w:tcPr>
          <w:p w14:paraId="1532AD42" w14:textId="301C1733" w:rsidR="001A44D5" w:rsidRPr="00427C3A" w:rsidRDefault="001A44D5" w:rsidP="00FC72FD">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Pr>
                <w:rFonts w:ascii="Times New Roman" w:hAnsi="Times New Roman"/>
                <w:sz w:val="24"/>
                <w:szCs w:val="24"/>
              </w:rPr>
              <w:t>3</w:t>
            </w:r>
            <w:r w:rsidRPr="00427C3A">
              <w:rPr>
                <w:rFonts w:ascii="Times New Roman" w:hAnsi="Times New Roman"/>
                <w:sz w:val="24"/>
                <w:szCs w:val="24"/>
              </w:rPr>
              <w:t>)</w:t>
            </w:r>
          </w:p>
        </w:tc>
      </w:tr>
    </w:tbl>
    <w:p w14:paraId="68BFD470" w14:textId="73812094" w:rsidR="00F27741" w:rsidRDefault="00BC3C43" w:rsidP="000F260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Donde </w:t>
      </w:r>
      <w:r w:rsidRPr="00BC3C43">
        <w:rPr>
          <w:rFonts w:ascii="Times New Roman" w:eastAsiaTheme="minorEastAsia" w:hAnsi="Times New Roman" w:cs="Times New Roman"/>
          <w:i/>
          <w:iCs/>
          <w:sz w:val="24"/>
          <w:szCs w:val="24"/>
        </w:rPr>
        <w:t>u*</w:t>
      </w:r>
      <w:r>
        <w:rPr>
          <w:rFonts w:ascii="Times New Roman" w:eastAsiaTheme="minorEastAsia" w:hAnsi="Times New Roman" w:cs="Times New Roman"/>
          <w:sz w:val="24"/>
          <w:szCs w:val="24"/>
        </w:rPr>
        <w:t xml:space="preserve"> es la tasa natural de desempleo y son las expectativas rezagadas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p</m:t>
                </m:r>
              </m:e>
            </m:acc>
          </m:e>
          <m:sub>
            <m:r>
              <w:rPr>
                <w:rFonts w:ascii="Cambria Math" w:hAnsi="Cambria Math" w:cs="Times New Roman"/>
                <w:sz w:val="24"/>
                <w:szCs w:val="24"/>
              </w:rPr>
              <m:t>t-1</m:t>
            </m:r>
          </m:sub>
        </m:sSub>
      </m:oMath>
      <w:r>
        <w:rPr>
          <w:rFonts w:ascii="Times New Roman" w:eastAsiaTheme="minorEastAsia" w:hAnsi="Times New Roman" w:cs="Times New Roman"/>
          <w:sz w:val="24"/>
          <w:szCs w:val="24"/>
        </w:rPr>
        <w:t xml:space="preserve">; la política monetaria </w:t>
      </w:r>
      <w:r w:rsidR="00831B80">
        <w:rPr>
          <w:rFonts w:ascii="Times New Roman" w:eastAsiaTheme="minorEastAsia" w:hAnsi="Times New Roman" w:cs="Times New Roman"/>
          <w:sz w:val="24"/>
          <w:szCs w:val="24"/>
        </w:rPr>
        <w:t xml:space="preserve">expansiva </w:t>
      </w:r>
      <w:r>
        <w:rPr>
          <w:rFonts w:ascii="Times New Roman" w:eastAsiaTheme="minorEastAsia" w:hAnsi="Times New Roman" w:cs="Times New Roman"/>
          <w:sz w:val="24"/>
          <w:szCs w:val="24"/>
        </w:rPr>
        <w:t xml:space="preserve">mantendrá </w:t>
      </w:r>
      <w:r w:rsidRPr="00BC3C43">
        <w:rPr>
          <w:rFonts w:ascii="Times New Roman" w:eastAsiaTheme="minorEastAsia" w:hAnsi="Times New Roman" w:cs="Times New Roman"/>
          <w:i/>
          <w:iCs/>
          <w:sz w:val="24"/>
          <w:szCs w:val="24"/>
        </w:rPr>
        <w:t>u</w:t>
      </w:r>
      <w:r>
        <w:rPr>
          <w:rFonts w:ascii="Times New Roman" w:eastAsiaTheme="minorEastAsia" w:hAnsi="Times New Roman" w:cs="Times New Roman"/>
          <w:sz w:val="24"/>
          <w:szCs w:val="24"/>
        </w:rPr>
        <w:t xml:space="preserve"> &lt; </w:t>
      </w:r>
      <w:r w:rsidRPr="00BC3C43">
        <w:rPr>
          <w:rFonts w:ascii="Times New Roman" w:eastAsiaTheme="minorEastAsia" w:hAnsi="Times New Roman" w:cs="Times New Roman"/>
          <w:i/>
          <w:iCs/>
          <w:sz w:val="24"/>
          <w:szCs w:val="24"/>
        </w:rPr>
        <w:t>u*</w:t>
      </w:r>
      <w:r>
        <w:rPr>
          <w:rFonts w:ascii="Times New Roman" w:eastAsiaTheme="minorEastAsia" w:hAnsi="Times New Roman" w:cs="Times New Roman"/>
          <w:sz w:val="24"/>
          <w:szCs w:val="24"/>
        </w:rPr>
        <w:t xml:space="preserve"> mientras los trabajadores</w:t>
      </w:r>
      <w:r w:rsidR="00831B80">
        <w:rPr>
          <w:rFonts w:ascii="Times New Roman" w:eastAsiaTheme="minorEastAsia" w:hAnsi="Times New Roman" w:cs="Times New Roman"/>
          <w:sz w:val="24"/>
          <w:szCs w:val="24"/>
        </w:rPr>
        <w:t xml:space="preserve">, </w:t>
      </w:r>
      <w:proofErr w:type="spellStart"/>
      <w:r w:rsidR="00831B80">
        <w:rPr>
          <w:rFonts w:ascii="Times New Roman" w:eastAsiaTheme="minorEastAsia" w:hAnsi="Times New Roman" w:cs="Times New Roman"/>
          <w:sz w:val="24"/>
          <w:szCs w:val="24"/>
        </w:rPr>
        <w:t>maximizadores</w:t>
      </w:r>
      <w:proofErr w:type="spellEnd"/>
      <w:r w:rsidR="00831B80">
        <w:rPr>
          <w:rFonts w:ascii="Times New Roman" w:eastAsiaTheme="minorEastAsia" w:hAnsi="Times New Roman" w:cs="Times New Roman"/>
          <w:sz w:val="24"/>
          <w:szCs w:val="24"/>
        </w:rPr>
        <w:t xml:space="preserve"> de utilidad,</w:t>
      </w:r>
      <w:r>
        <w:rPr>
          <w:rFonts w:ascii="Times New Roman" w:eastAsiaTheme="minorEastAsia" w:hAnsi="Times New Roman" w:cs="Times New Roman"/>
          <w:sz w:val="24"/>
          <w:szCs w:val="24"/>
        </w:rPr>
        <w:t xml:space="preserve"> </w:t>
      </w:r>
      <w:r w:rsidR="00831B80">
        <w:rPr>
          <w:rFonts w:ascii="Times New Roman" w:eastAsiaTheme="minorEastAsia" w:hAnsi="Times New Roman" w:cs="Times New Roman"/>
          <w:sz w:val="24"/>
          <w:szCs w:val="24"/>
        </w:rPr>
        <w:t>perciban que el incremento del salario nominal equivale a un aumento de su salario real (</w:t>
      </w:r>
      <w:bookmarkStart w:id="3" w:name="_Hlk70169674"/>
      <w:proofErr w:type="spellStart"/>
      <w:r w:rsidR="00831B80" w:rsidRPr="00831B80">
        <w:rPr>
          <w:rFonts w:ascii="Times New Roman" w:eastAsiaTheme="minorEastAsia" w:hAnsi="Times New Roman" w:cs="Times New Roman"/>
          <w:i/>
          <w:iCs/>
          <w:sz w:val="24"/>
          <w:szCs w:val="24"/>
        </w:rPr>
        <w:t>w</w:t>
      </w:r>
      <w:r w:rsidR="00831B80" w:rsidRPr="00831B80">
        <w:rPr>
          <w:rFonts w:ascii="Times New Roman" w:eastAsiaTheme="minorEastAsia" w:hAnsi="Times New Roman" w:cs="Times New Roman"/>
          <w:i/>
          <w:iCs/>
          <w:sz w:val="24"/>
          <w:szCs w:val="24"/>
          <w:vertAlign w:val="subscript"/>
        </w:rPr>
        <w:t>r</w:t>
      </w:r>
      <w:proofErr w:type="spellEnd"/>
      <w:r w:rsidR="00831B80">
        <w:rPr>
          <w:rFonts w:ascii="Times New Roman" w:eastAsiaTheme="minorEastAsia" w:hAnsi="Times New Roman" w:cs="Times New Roman"/>
          <w:sz w:val="24"/>
          <w:szCs w:val="24"/>
        </w:rPr>
        <w:t>)</w:t>
      </w:r>
      <w:bookmarkEnd w:id="3"/>
      <w:r w:rsidR="00831B80">
        <w:rPr>
          <w:rFonts w:ascii="Times New Roman" w:eastAsiaTheme="minorEastAsia" w:hAnsi="Times New Roman" w:cs="Times New Roman"/>
          <w:sz w:val="24"/>
          <w:szCs w:val="24"/>
        </w:rPr>
        <w:t xml:space="preserve"> experimenten ilusión monetaria y se muevan a lo largo de su curva de oferta de trabajo </w:t>
      </w:r>
      <w:r w:rsidR="00A01AF9">
        <w:rPr>
          <w:rFonts w:ascii="Times New Roman" w:eastAsiaTheme="minorEastAsia" w:hAnsi="Times New Roman" w:cs="Times New Roman"/>
          <w:sz w:val="24"/>
          <w:szCs w:val="24"/>
        </w:rPr>
        <w:t xml:space="preserve">de corto plazo </w:t>
      </w:r>
      <w:r w:rsidR="00831B80">
        <w:rPr>
          <w:rFonts w:ascii="Times New Roman" w:eastAsiaTheme="minorEastAsia" w:hAnsi="Times New Roman" w:cs="Times New Roman"/>
          <w:sz w:val="24"/>
          <w:szCs w:val="24"/>
        </w:rPr>
        <w:t xml:space="preserve">y los capitalistas interpreten que el choque monetario significa un más </w:t>
      </w:r>
      <w:proofErr w:type="spellStart"/>
      <w:r w:rsidR="00831B80" w:rsidRPr="00831B80">
        <w:rPr>
          <w:rFonts w:ascii="Times New Roman" w:eastAsiaTheme="minorEastAsia" w:hAnsi="Times New Roman" w:cs="Times New Roman"/>
          <w:i/>
          <w:iCs/>
          <w:sz w:val="24"/>
          <w:szCs w:val="24"/>
        </w:rPr>
        <w:t>w</w:t>
      </w:r>
      <w:r w:rsidR="00831B80" w:rsidRPr="00831B80">
        <w:rPr>
          <w:rFonts w:ascii="Times New Roman" w:eastAsiaTheme="minorEastAsia" w:hAnsi="Times New Roman" w:cs="Times New Roman"/>
          <w:i/>
          <w:iCs/>
          <w:sz w:val="24"/>
          <w:szCs w:val="24"/>
          <w:vertAlign w:val="subscript"/>
        </w:rPr>
        <w:t>r</w:t>
      </w:r>
      <w:proofErr w:type="spellEnd"/>
      <w:r w:rsidR="00831B80">
        <w:rPr>
          <w:rFonts w:ascii="Times New Roman" w:eastAsiaTheme="minorEastAsia" w:hAnsi="Times New Roman" w:cs="Times New Roman"/>
          <w:sz w:val="24"/>
          <w:szCs w:val="24"/>
        </w:rPr>
        <w:t xml:space="preserve"> bajo. </w:t>
      </w:r>
      <w:r w:rsidR="00A01AF9">
        <w:rPr>
          <w:rFonts w:ascii="Times New Roman" w:eastAsiaTheme="minorEastAsia" w:hAnsi="Times New Roman" w:cs="Times New Roman"/>
          <w:sz w:val="24"/>
          <w:szCs w:val="24"/>
        </w:rPr>
        <w:t xml:space="preserve">Cuando trabajadores y capitalistas se percatan de que el salario real no aumentó debido a que la expansión monetaria se tradujo en una tasa de inflación mayor, la tasa de desempleo regresará a su nivel previo al choque monetario. Se requerirán sucesivos choques monetarios sorpresa para mantener </w:t>
      </w:r>
      <w:r w:rsidR="00A01AF9" w:rsidRPr="00A01AF9">
        <w:rPr>
          <w:rFonts w:ascii="Times New Roman" w:eastAsiaTheme="minorEastAsia" w:hAnsi="Times New Roman" w:cs="Times New Roman"/>
          <w:i/>
          <w:iCs/>
          <w:sz w:val="24"/>
          <w:szCs w:val="24"/>
        </w:rPr>
        <w:t>u</w:t>
      </w:r>
      <w:r w:rsidR="00A01AF9">
        <w:rPr>
          <w:rFonts w:ascii="Times New Roman" w:eastAsiaTheme="minorEastAsia" w:hAnsi="Times New Roman" w:cs="Times New Roman"/>
          <w:sz w:val="24"/>
          <w:szCs w:val="24"/>
        </w:rPr>
        <w:t xml:space="preserve"> en un nivel inferior a </w:t>
      </w:r>
      <w:r w:rsidR="00A01AF9" w:rsidRPr="00A01AF9">
        <w:rPr>
          <w:rFonts w:ascii="Times New Roman" w:eastAsiaTheme="minorEastAsia" w:hAnsi="Times New Roman" w:cs="Times New Roman"/>
          <w:i/>
          <w:iCs/>
          <w:sz w:val="24"/>
          <w:szCs w:val="24"/>
        </w:rPr>
        <w:t>u*</w:t>
      </w:r>
      <w:r w:rsidR="00A01AF9">
        <w:rPr>
          <w:rFonts w:ascii="Times New Roman" w:eastAsiaTheme="minorEastAsia" w:hAnsi="Times New Roman" w:cs="Times New Roman"/>
          <w:sz w:val="24"/>
          <w:szCs w:val="24"/>
        </w:rPr>
        <w:t xml:space="preserve">. </w:t>
      </w:r>
      <w:r w:rsidR="00F27741">
        <w:rPr>
          <w:rFonts w:ascii="Times New Roman" w:eastAsiaTheme="minorEastAsia" w:hAnsi="Times New Roman" w:cs="Times New Roman"/>
          <w:sz w:val="24"/>
          <w:szCs w:val="24"/>
        </w:rPr>
        <w:t xml:space="preserve">Sin embargo, </w:t>
      </w:r>
      <w:r w:rsidR="00A01AF9">
        <w:rPr>
          <w:rFonts w:ascii="Times New Roman" w:eastAsiaTheme="minorEastAsia" w:hAnsi="Times New Roman" w:cs="Times New Roman"/>
          <w:sz w:val="24"/>
          <w:szCs w:val="24"/>
        </w:rPr>
        <w:t xml:space="preserve">esto sólo acelerará la inflación sin aumentar el producto ni el empleo. </w:t>
      </w:r>
      <w:r w:rsidR="00F27741">
        <w:rPr>
          <w:rFonts w:ascii="Times New Roman" w:eastAsiaTheme="minorEastAsia" w:hAnsi="Times New Roman" w:cs="Times New Roman"/>
          <w:sz w:val="24"/>
          <w:szCs w:val="24"/>
        </w:rPr>
        <w:t>Friedman supone que la variable de ajuste relevante del mercado de trabajo es el salario real, no el salario nominal</w:t>
      </w:r>
      <w:r w:rsidR="005C33D6">
        <w:rPr>
          <w:rFonts w:ascii="Times New Roman" w:eastAsiaTheme="minorEastAsia" w:hAnsi="Times New Roman" w:cs="Times New Roman"/>
          <w:sz w:val="24"/>
          <w:szCs w:val="24"/>
        </w:rPr>
        <w:t>, y que existe una indexación completa de los incrementos de los salarios nominales a la inflación:</w:t>
      </w:r>
      <w:r w:rsidR="00F27741">
        <w:rPr>
          <w:rFonts w:ascii="Times New Roman" w:eastAsiaTheme="minorEastAsia" w:hAnsi="Times New Roman" w:cs="Times New Roman"/>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1A44D5" w:rsidRPr="00427C3A" w14:paraId="140E95D9" w14:textId="77777777" w:rsidTr="00FC72FD">
        <w:tc>
          <w:tcPr>
            <w:tcW w:w="8330" w:type="dxa"/>
            <w:vAlign w:val="center"/>
          </w:tcPr>
          <w:p w14:paraId="00260BAC" w14:textId="6A7A4D72" w:rsidR="001A44D5" w:rsidRPr="00427C3A" w:rsidRDefault="00EF21D7" w:rsidP="001A44D5">
            <w:pPr>
              <w:spacing w:before="120" w:after="120" w:line="360" w:lineRule="auto"/>
              <w:jc w:val="center"/>
              <w:rPr>
                <w:rFonts w:ascii="Times New Roman" w:hAnsi="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=-α</m:t>
                </m:r>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-u</m:t>
                    </m:r>
                  </m:e>
                </m:d>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=u</m:t>
                </m:r>
              </m:oMath>
            </m:oMathPara>
          </w:p>
        </w:tc>
        <w:tc>
          <w:tcPr>
            <w:tcW w:w="648" w:type="dxa"/>
            <w:vAlign w:val="center"/>
          </w:tcPr>
          <w:p w14:paraId="4E9A6481" w14:textId="6046F1FD" w:rsidR="001A44D5" w:rsidRPr="00427C3A" w:rsidRDefault="001A44D5" w:rsidP="00FC72FD">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Pr>
                <w:rFonts w:ascii="Times New Roman" w:hAnsi="Times New Roman"/>
                <w:sz w:val="24"/>
                <w:szCs w:val="24"/>
              </w:rPr>
              <w:t>4</w:t>
            </w:r>
            <w:r w:rsidRPr="00427C3A">
              <w:rPr>
                <w:rFonts w:ascii="Times New Roman" w:hAnsi="Times New Roman"/>
                <w:sz w:val="24"/>
                <w:szCs w:val="24"/>
              </w:rPr>
              <w:t>)</w:t>
            </w:r>
          </w:p>
        </w:tc>
      </w:tr>
    </w:tbl>
    <w:p w14:paraId="673E4908" w14:textId="77777777" w:rsidR="00B13300" w:rsidRDefault="005C33D6" w:rsidP="00BC3C43">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Por tanto, en el largo plazo la economía tenderá al equilibrio, es decir, a la tasa de desempleo de equilibrio </w:t>
      </w:r>
      <w:r w:rsidRPr="005C33D6">
        <w:rPr>
          <w:rFonts w:ascii="Times New Roman" w:eastAsiaTheme="minorEastAsia" w:hAnsi="Times New Roman" w:cs="Times New Roman"/>
          <w:i/>
          <w:iCs/>
          <w:sz w:val="24"/>
          <w:szCs w:val="24"/>
        </w:rPr>
        <w:t>u*</w:t>
      </w:r>
      <w:r>
        <w:rPr>
          <w:rFonts w:ascii="Times New Roman" w:eastAsiaTheme="minorEastAsia" w:hAnsi="Times New Roman" w:cs="Times New Roman"/>
          <w:sz w:val="24"/>
          <w:szCs w:val="24"/>
        </w:rPr>
        <w:t xml:space="preserve"> consistente con la no aceleración de la inflación.</w:t>
      </w:r>
      <w:r w:rsidR="00E14493">
        <w:rPr>
          <w:rFonts w:ascii="Times New Roman" w:eastAsiaTheme="minorEastAsia" w:hAnsi="Times New Roman" w:cs="Times New Roman"/>
          <w:sz w:val="24"/>
          <w:szCs w:val="24"/>
        </w:rPr>
        <w:t xml:space="preserve"> </w:t>
      </w:r>
    </w:p>
    <w:p w14:paraId="72E5C6E3" w14:textId="060F0F51" w:rsidR="00A01AF9" w:rsidRDefault="00E14493" w:rsidP="00B13300">
      <w:pPr>
        <w:spacing w:line="360" w:lineRule="auto"/>
        <w:ind w:firstLine="708"/>
        <w:jc w:val="both"/>
        <w:rPr>
          <w:rFonts w:ascii="Times New Roman" w:eastAsiaTheme="minorEastAsia" w:hAnsi="Times New Roman" w:cs="Times New Roman"/>
          <w:sz w:val="24"/>
          <w:szCs w:val="24"/>
        </w:rPr>
      </w:pPr>
      <w:bookmarkStart w:id="4" w:name="_Hlk70196984"/>
      <w:r>
        <w:rPr>
          <w:rFonts w:ascii="Times New Roman" w:eastAsiaTheme="minorEastAsia" w:hAnsi="Times New Roman" w:cs="Times New Roman"/>
          <w:sz w:val="24"/>
          <w:szCs w:val="24"/>
        </w:rPr>
        <w:t>Lucas (1972)</w:t>
      </w:r>
      <w:bookmarkEnd w:id="4"/>
      <w:r>
        <w:rPr>
          <w:rFonts w:ascii="Times New Roman" w:eastAsiaTheme="minorEastAsia" w:hAnsi="Times New Roman" w:cs="Times New Roman"/>
          <w:sz w:val="24"/>
          <w:szCs w:val="24"/>
        </w:rPr>
        <w:t xml:space="preserve"> </w:t>
      </w:r>
      <w:r w:rsidR="00BB30A5">
        <w:rPr>
          <w:rFonts w:ascii="Times New Roman" w:eastAsiaTheme="minorEastAsia" w:hAnsi="Times New Roman" w:cs="Times New Roman"/>
          <w:sz w:val="24"/>
          <w:szCs w:val="24"/>
        </w:rPr>
        <w:t xml:space="preserve">extendió el modelo de Friedman, sustituyó la hipótesis de expectativas adaptativas con la hipótesis de expectativas racionales, en la que basa su proposición de inefectividad de la política económica (PIPE). Esta proposición significa que el dinero es súper neutral porque la política monetaria no afecta el producto ni el empleo en el corto ni en el largo plazo. </w:t>
      </w:r>
      <w:r w:rsidR="00B13300">
        <w:rPr>
          <w:rFonts w:ascii="Times New Roman" w:eastAsiaTheme="minorEastAsia" w:hAnsi="Times New Roman" w:cs="Times New Roman"/>
          <w:sz w:val="24"/>
          <w:szCs w:val="24"/>
        </w:rPr>
        <w:t xml:space="preserve">Lucas propone una curva de oferta en la que los </w:t>
      </w:r>
      <w:r w:rsidR="00AA7F5B">
        <w:rPr>
          <w:rFonts w:ascii="Times New Roman" w:eastAsiaTheme="minorEastAsia" w:hAnsi="Times New Roman" w:cs="Times New Roman"/>
          <w:sz w:val="24"/>
          <w:szCs w:val="24"/>
        </w:rPr>
        <w:t>ag</w:t>
      </w:r>
      <w:r w:rsidR="00B13300">
        <w:rPr>
          <w:rFonts w:ascii="Times New Roman" w:eastAsiaTheme="minorEastAsia" w:hAnsi="Times New Roman" w:cs="Times New Roman"/>
          <w:sz w:val="24"/>
          <w:szCs w:val="24"/>
        </w:rPr>
        <w:t>e</w:t>
      </w:r>
      <w:r w:rsidR="00AA7F5B">
        <w:rPr>
          <w:rFonts w:ascii="Times New Roman" w:eastAsiaTheme="minorEastAsia" w:hAnsi="Times New Roman" w:cs="Times New Roman"/>
          <w:sz w:val="24"/>
          <w:szCs w:val="24"/>
        </w:rPr>
        <w:t>nte</w:t>
      </w:r>
      <w:r w:rsidR="00B13300">
        <w:rPr>
          <w:rFonts w:ascii="Times New Roman" w:eastAsiaTheme="minorEastAsia" w:hAnsi="Times New Roman" w:cs="Times New Roman"/>
          <w:sz w:val="24"/>
          <w:szCs w:val="24"/>
        </w:rPr>
        <w:t xml:space="preserve">s </w:t>
      </w:r>
      <w:r w:rsidR="00AA7F5B">
        <w:rPr>
          <w:rFonts w:ascii="Times New Roman" w:eastAsiaTheme="minorEastAsia" w:hAnsi="Times New Roman" w:cs="Times New Roman"/>
          <w:sz w:val="24"/>
          <w:szCs w:val="24"/>
        </w:rPr>
        <w:t xml:space="preserve">económicos </w:t>
      </w:r>
      <w:r w:rsidR="00B13300">
        <w:rPr>
          <w:rFonts w:ascii="Times New Roman" w:eastAsiaTheme="minorEastAsia" w:hAnsi="Times New Roman" w:cs="Times New Roman"/>
          <w:sz w:val="24"/>
          <w:szCs w:val="24"/>
        </w:rPr>
        <w:t>no tienen ilusión monetaria, forman sus expectativas de manera correcta, anticipan correctamente el efecto de la política monetaria en la inflación esperada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E</m:t>
            </m:r>
          </m:sup>
        </m:sSup>
        <m:r>
          <w:rPr>
            <w:rFonts w:ascii="Cambria Math" w:eastAsiaTheme="minorEastAsia" w:hAnsi="Cambria Math" w:cs="Times New Roman"/>
            <w:sz w:val="24"/>
            <w:szCs w:val="24"/>
          </w:rPr>
          <m:t>)</m:t>
        </m:r>
      </m:oMath>
      <w:r w:rsidR="00B13300">
        <w:rPr>
          <w:rFonts w:ascii="Times New Roman" w:eastAsiaTheme="minorEastAsia" w:hAnsi="Times New Roman" w:cs="Times New Roman"/>
          <w:sz w:val="24"/>
          <w:szCs w:val="24"/>
        </w:rPr>
        <w:t xml:space="preserve">. Las decisiones de oferta de los trabajadores </w:t>
      </w:r>
      <w:r w:rsidR="00AA7F5B">
        <w:rPr>
          <w:rFonts w:ascii="Times New Roman" w:eastAsiaTheme="minorEastAsia" w:hAnsi="Times New Roman" w:cs="Times New Roman"/>
          <w:sz w:val="24"/>
          <w:szCs w:val="24"/>
        </w:rPr>
        <w:t xml:space="preserve">se basan en el conocimiento </w:t>
      </w:r>
      <w:r w:rsidR="00AA7F5B" w:rsidRPr="00AA7F5B">
        <w:rPr>
          <w:rFonts w:ascii="Times New Roman" w:eastAsiaTheme="minorEastAsia" w:hAnsi="Times New Roman" w:cs="Times New Roman"/>
          <w:i/>
          <w:iCs/>
          <w:sz w:val="24"/>
          <w:szCs w:val="24"/>
        </w:rPr>
        <w:t>ex ante</w:t>
      </w:r>
      <w:r w:rsidR="00AA7F5B">
        <w:rPr>
          <w:rFonts w:ascii="Times New Roman" w:eastAsiaTheme="minorEastAsia" w:hAnsi="Times New Roman" w:cs="Times New Roman"/>
          <w:sz w:val="24"/>
          <w:szCs w:val="24"/>
        </w:rPr>
        <w:t xml:space="preserve"> de que los choques monetarios no modifican los precios relativos y </w:t>
      </w:r>
      <w:r w:rsidR="00B13300">
        <w:rPr>
          <w:rFonts w:ascii="Times New Roman" w:eastAsiaTheme="minorEastAsia" w:hAnsi="Times New Roman" w:cs="Times New Roman"/>
          <w:sz w:val="24"/>
          <w:szCs w:val="24"/>
        </w:rPr>
        <w:t>pueden expresarse así:</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0F2607" w:rsidRPr="00427C3A" w14:paraId="5BD1C0B0" w14:textId="77777777" w:rsidTr="00FC72FD">
        <w:tc>
          <w:tcPr>
            <w:tcW w:w="8330" w:type="dxa"/>
            <w:vAlign w:val="center"/>
          </w:tcPr>
          <w:p w14:paraId="3565E301" w14:textId="59EB1B13" w:rsidR="000F2607" w:rsidRPr="00427C3A" w:rsidRDefault="00EF21D7" w:rsidP="00FC72FD">
            <w:pPr>
              <w:spacing w:before="120" w:after="120" w:line="360" w:lineRule="auto"/>
              <w:jc w:val="center"/>
              <w:rPr>
                <w:rFonts w:ascii="Times New Roman" w:hAnsi="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E</m:t>
                      </m:r>
                    </m:sup>
                  </m:sSup>
                </m:num>
                <m:den>
                  <m:r>
                    <w:rPr>
                      <w:rFonts w:ascii="Cambria Math" w:eastAsiaTheme="minorEastAsia" w:hAnsi="Cambria Math" w:cs="Times New Roman"/>
                      <w:sz w:val="24"/>
                      <w:szCs w:val="24"/>
                    </w:rPr>
                    <m:t>α</m:t>
                  </m:r>
                </m:den>
              </m:f>
            </m:oMath>
            <w:r w:rsidR="000F2607">
              <w:rPr>
                <w:rFonts w:ascii="Times New Roman" w:eastAsiaTheme="minorEastAsia" w:hAnsi="Times New Roman" w:cs="Times New Roman"/>
                <w:sz w:val="24"/>
                <w:szCs w:val="24"/>
              </w:rPr>
              <w:t>)</w:t>
            </w:r>
          </w:p>
        </w:tc>
        <w:tc>
          <w:tcPr>
            <w:tcW w:w="648" w:type="dxa"/>
            <w:vAlign w:val="center"/>
          </w:tcPr>
          <w:p w14:paraId="20C25F61" w14:textId="7E2A8F22" w:rsidR="000F2607" w:rsidRPr="00427C3A" w:rsidRDefault="000F2607" w:rsidP="00FC72FD">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Pr>
                <w:rFonts w:ascii="Times New Roman" w:hAnsi="Times New Roman"/>
                <w:sz w:val="24"/>
                <w:szCs w:val="24"/>
              </w:rPr>
              <w:t>5</w:t>
            </w:r>
            <w:r w:rsidRPr="00427C3A">
              <w:rPr>
                <w:rFonts w:ascii="Times New Roman" w:hAnsi="Times New Roman"/>
                <w:sz w:val="24"/>
                <w:szCs w:val="24"/>
              </w:rPr>
              <w:t>)</w:t>
            </w:r>
          </w:p>
        </w:tc>
      </w:tr>
    </w:tbl>
    <w:p w14:paraId="24D08E94" w14:textId="21BBEF9E" w:rsidR="00AA7F5B" w:rsidRDefault="00AA7F5B" w:rsidP="00AA7F5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Dada la regla de expectativas racionales, existe un equilibrio continuo en el mercado de trabajo,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m:t>
            </m:r>
          </m:sup>
        </m:sSup>
      </m:oMath>
      <w:r>
        <w:rPr>
          <w:rFonts w:ascii="Times New Roman" w:eastAsiaTheme="minorEastAsia" w:hAnsi="Times New Roman" w:cs="Times New Roman"/>
          <w:sz w:val="24"/>
          <w:szCs w:val="24"/>
        </w:rPr>
        <w:t>, el dinero es neutral y la política monetaria activa no es efectiva, sólo causa inflación.</w:t>
      </w:r>
      <w:r w:rsidR="00CA2837">
        <w:rPr>
          <w:rFonts w:ascii="Times New Roman" w:eastAsiaTheme="minorEastAsia" w:hAnsi="Times New Roman" w:cs="Times New Roman"/>
          <w:sz w:val="24"/>
          <w:szCs w:val="24"/>
        </w:rPr>
        <w:t xml:space="preserve"> La PIPE de Lucas supone no sólo indexación completa de las variaciones de los salarios nominales a los precios, sino que demás esta indexación es inmediata.</w:t>
      </w:r>
    </w:p>
    <w:p w14:paraId="08E6BDD9" w14:textId="0436DA1A" w:rsidR="001B7F94" w:rsidRPr="006D3BA4" w:rsidRDefault="00CA2837" w:rsidP="00A97CDA">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Samuelson y Solow (1960) sugirieron que la Fed podía aprovechar el conflicto (</w:t>
      </w:r>
      <w:proofErr w:type="spellStart"/>
      <w:r>
        <w:rPr>
          <w:rFonts w:ascii="Times New Roman" w:eastAsiaTheme="minorEastAsia" w:hAnsi="Times New Roman" w:cs="Times New Roman"/>
          <w:sz w:val="24"/>
          <w:szCs w:val="24"/>
        </w:rPr>
        <w:t>trade</w:t>
      </w:r>
      <w:proofErr w:type="spellEnd"/>
      <w:r w:rsidR="006D3BA4">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off) implícito en la Curva de Phillips para reducir el desempleo al costo de una tasa de inflación mayor</w:t>
      </w:r>
      <w:r w:rsidR="006D3BA4">
        <w:rPr>
          <w:rFonts w:ascii="Times New Roman" w:eastAsiaTheme="minorEastAsia" w:hAnsi="Times New Roman" w:cs="Times New Roman"/>
          <w:sz w:val="24"/>
          <w:szCs w:val="24"/>
        </w:rPr>
        <w:t xml:space="preserve">. En efecto, la tasa de desempleo de Estados Unidos descendió de 5.5% a menos de 4% entre 1964 y 1970 y la inflación aumentó de menos de 2% a más de 5%. Pero después de 1970 la inflación se aceleró drásticamente hasta casi 11% en 1975, tal como sostiene Friedman. Durante la década de 1970 la relación entre inflación y desempleo fue positiva. </w:t>
      </w:r>
      <w:r w:rsidR="001B7F94">
        <w:rPr>
          <w:rFonts w:ascii="Times New Roman" w:hAnsi="Times New Roman" w:cs="Times New Roman"/>
          <w:sz w:val="24"/>
          <w:szCs w:val="24"/>
        </w:rPr>
        <w:t xml:space="preserve">La economía de Estados Unidos experimentó una crisis de estancamiento con inflación en la década de 1970, caracterizada por tasas de desempleo e inflación de dos dígitos. </w:t>
      </w:r>
      <w:r w:rsidR="007938BA">
        <w:rPr>
          <w:rFonts w:ascii="Times New Roman" w:hAnsi="Times New Roman" w:cs="Times New Roman"/>
          <w:sz w:val="24"/>
          <w:szCs w:val="24"/>
        </w:rPr>
        <w:t>La crisis de estanflación tuvo como una de sus premisas la rigidez de los salarios reales y una reacción parcialmente elástica de la tasa de crecimiento del PIB nominal</w:t>
      </w:r>
      <w:r w:rsidR="00B572F4">
        <w:rPr>
          <w:rFonts w:ascii="Times New Roman" w:hAnsi="Times New Roman" w:cs="Times New Roman"/>
          <w:sz w:val="24"/>
          <w:szCs w:val="24"/>
        </w:rPr>
        <w:t xml:space="preserve"> (Gordon, 1984)</w:t>
      </w:r>
      <w:r w:rsidR="007938BA">
        <w:rPr>
          <w:rFonts w:ascii="Times New Roman" w:hAnsi="Times New Roman" w:cs="Times New Roman"/>
          <w:sz w:val="24"/>
          <w:szCs w:val="24"/>
        </w:rPr>
        <w:t>.</w:t>
      </w:r>
    </w:p>
    <w:p w14:paraId="349D3B1C" w14:textId="7C5CD2E0" w:rsidR="00046440" w:rsidRPr="001B7F94" w:rsidRDefault="00B572F4" w:rsidP="00962E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Entre 1979 y 1982, Paul Volcker puso por práctica la hipótesis de Milton Friedman, con lo que se verificó el llamado experimento monetarista. </w:t>
      </w:r>
      <w:r w:rsidR="00046440" w:rsidRPr="001B7F94">
        <w:rPr>
          <w:rFonts w:ascii="Times New Roman" w:eastAsiaTheme="minorEastAsia" w:hAnsi="Times New Roman" w:cs="Times New Roman"/>
          <w:color w:val="000000" w:themeColor="text1"/>
          <w:sz w:val="24"/>
          <w:szCs w:val="24"/>
        </w:rPr>
        <w:t>Después de 1979, la combinación de cambio estructural en el régimen de política monetaria, choques de oferta</w:t>
      </w:r>
      <w:r w:rsidR="00046440">
        <w:rPr>
          <w:rFonts w:ascii="Times New Roman" w:eastAsiaTheme="minorEastAsia" w:hAnsi="Times New Roman" w:cs="Times New Roman"/>
          <w:color w:val="000000" w:themeColor="text1"/>
          <w:sz w:val="24"/>
          <w:szCs w:val="24"/>
        </w:rPr>
        <w:t xml:space="preserve"> e</w:t>
      </w:r>
      <w:r w:rsidR="00046440" w:rsidRPr="001B7F94">
        <w:rPr>
          <w:rFonts w:ascii="Times New Roman" w:eastAsiaTheme="minorEastAsia" w:hAnsi="Times New Roman" w:cs="Times New Roman"/>
          <w:color w:val="000000" w:themeColor="text1"/>
          <w:sz w:val="24"/>
          <w:szCs w:val="24"/>
        </w:rPr>
        <w:t xml:space="preserve"> innovación financiera (definición de M) implicó rupturas en la relación </w:t>
      </w:r>
      <w:r w:rsidR="00046440">
        <w:rPr>
          <w:rFonts w:ascii="Times New Roman" w:eastAsiaTheme="minorEastAsia" w:hAnsi="Times New Roman" w:cs="Times New Roman"/>
          <w:color w:val="000000" w:themeColor="text1"/>
          <w:sz w:val="24"/>
          <w:szCs w:val="24"/>
        </w:rPr>
        <w:t>la oferta monetaria, el ingreso nominal y la tasa de interés</w:t>
      </w:r>
      <w:r w:rsidR="00046440" w:rsidRPr="001B7F94">
        <w:rPr>
          <w:rFonts w:ascii="Times New Roman" w:eastAsiaTheme="minorEastAsia" w:hAnsi="Times New Roman" w:cs="Times New Roman"/>
          <w:color w:val="000000" w:themeColor="text1"/>
          <w:sz w:val="24"/>
          <w:szCs w:val="24"/>
        </w:rPr>
        <w:t>.</w:t>
      </w:r>
    </w:p>
    <w:p w14:paraId="58371516" w14:textId="5868F720" w:rsidR="00962ECB" w:rsidRDefault="00B572F4" w:rsidP="00962EC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inflación </w:t>
      </w:r>
      <w:r w:rsidR="00046440">
        <w:rPr>
          <w:rFonts w:ascii="Times New Roman" w:hAnsi="Times New Roman" w:cs="Times New Roman"/>
          <w:sz w:val="24"/>
          <w:szCs w:val="24"/>
        </w:rPr>
        <w:t xml:space="preserve">disminuyó </w:t>
      </w:r>
      <w:r>
        <w:rPr>
          <w:rFonts w:ascii="Times New Roman" w:hAnsi="Times New Roman" w:cs="Times New Roman"/>
          <w:sz w:val="24"/>
          <w:szCs w:val="24"/>
        </w:rPr>
        <w:t>de 10% en 1981 a 3% en 1986. Esto fue resultado de un conjunto de factores: altas tasas de interés y restricción monetaria; una acelerada disminución de los precios de los hidrocarburos entre 1981 y 1986; apreciación del dólar; aumento del desempleo y disminución de los costos laborales.</w:t>
      </w:r>
      <w:r w:rsidR="00046440">
        <w:rPr>
          <w:rFonts w:ascii="Times New Roman" w:hAnsi="Times New Roman" w:cs="Times New Roman"/>
          <w:sz w:val="24"/>
          <w:szCs w:val="24"/>
        </w:rPr>
        <w:t xml:space="preserve"> En la década de los años 1990 la inflación se mantuvo baja y estable y la tasa de desempleo descendió de 7% a menos de 4% en el 2000. De hecho, la inflación se mantuvo baja y estable, fluctuando entre alrededor de 2% y 4% durante 1981 y 2007</w:t>
      </w:r>
      <w:r w:rsidR="00962ECB">
        <w:rPr>
          <w:rFonts w:ascii="Times New Roman" w:hAnsi="Times New Roman" w:cs="Times New Roman"/>
          <w:sz w:val="24"/>
          <w:szCs w:val="24"/>
        </w:rPr>
        <w:t>. Entre la segunda mitad de la década de 1980 y 2007 la volatilidad de la inflación y del crecimiento del producto de Estados Unidos, medida por la desviación estándar, experimentó una marcada disminución. Este periodo de baja volatilidad macroeconómica es conocido como la Gran Moderación. Los supuestos beneficios de una menor volatilidad incluyen menores costos de transacción, una mayor certidumbre para el consumo y la inversión</w:t>
      </w:r>
      <w:r w:rsidR="00B93A26">
        <w:rPr>
          <w:rFonts w:ascii="Times New Roman" w:hAnsi="Times New Roman" w:cs="Times New Roman"/>
          <w:sz w:val="24"/>
          <w:szCs w:val="24"/>
        </w:rPr>
        <w:t xml:space="preserve"> y</w:t>
      </w:r>
      <w:r w:rsidR="00962ECB">
        <w:rPr>
          <w:rFonts w:ascii="Times New Roman" w:hAnsi="Times New Roman" w:cs="Times New Roman"/>
          <w:sz w:val="24"/>
          <w:szCs w:val="24"/>
        </w:rPr>
        <w:t xml:space="preserve"> aumento del empleo productivo</w:t>
      </w:r>
      <w:r w:rsidR="00B93A26">
        <w:rPr>
          <w:rFonts w:ascii="Times New Roman" w:hAnsi="Times New Roman" w:cs="Times New Roman"/>
          <w:sz w:val="24"/>
          <w:szCs w:val="24"/>
        </w:rPr>
        <w:t>.</w:t>
      </w:r>
    </w:p>
    <w:p w14:paraId="47C4AA4C" w14:textId="18967184" w:rsidR="00B93A26" w:rsidRDefault="00A2537C" w:rsidP="00B93A2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B93A26">
        <w:rPr>
          <w:rFonts w:ascii="Times New Roman" w:hAnsi="Times New Roman" w:cs="Times New Roman"/>
          <w:b/>
          <w:bCs/>
          <w:sz w:val="24"/>
          <w:szCs w:val="24"/>
        </w:rPr>
        <w:t>La Gran Moderación</w:t>
      </w:r>
    </w:p>
    <w:p w14:paraId="0E63E0C4" w14:textId="629D99D9" w:rsidR="00991054" w:rsidRDefault="00962ECB" w:rsidP="00B93A26">
      <w:pPr>
        <w:spacing w:line="360" w:lineRule="auto"/>
        <w:jc w:val="both"/>
        <w:rPr>
          <w:rFonts w:ascii="Times New Roman" w:eastAsia="Times New Roman" w:hAnsi="Times New Roman" w:cs="Times New Roman"/>
          <w:sz w:val="24"/>
          <w:szCs w:val="24"/>
          <w:lang w:eastAsia="es-MX"/>
        </w:rPr>
      </w:pPr>
      <w:r w:rsidRPr="00B93A26">
        <w:rPr>
          <w:rFonts w:ascii="Times New Roman" w:hAnsi="Times New Roman" w:cs="Times New Roman"/>
          <w:sz w:val="24"/>
          <w:szCs w:val="24"/>
        </w:rPr>
        <w:t xml:space="preserve">¿Cuál fue la causa de la Gran Moderación </w:t>
      </w:r>
      <w:r w:rsidR="00BE7B5B">
        <w:rPr>
          <w:rFonts w:ascii="Times New Roman" w:hAnsi="Times New Roman" w:cs="Times New Roman"/>
          <w:sz w:val="24"/>
          <w:szCs w:val="24"/>
        </w:rPr>
        <w:t xml:space="preserve">(GM) </w:t>
      </w:r>
      <w:r w:rsidR="008D4C6D" w:rsidRPr="00B93A26">
        <w:rPr>
          <w:rFonts w:ascii="Times New Roman" w:hAnsi="Times New Roman" w:cs="Times New Roman"/>
          <w:sz w:val="24"/>
          <w:szCs w:val="24"/>
        </w:rPr>
        <w:t>que se registró durante 1984-2007</w:t>
      </w:r>
      <w:r w:rsidRPr="00B93A26">
        <w:rPr>
          <w:rFonts w:ascii="Times New Roman" w:hAnsi="Times New Roman" w:cs="Times New Roman"/>
          <w:sz w:val="24"/>
          <w:szCs w:val="24"/>
        </w:rPr>
        <w:t xml:space="preserve">? </w:t>
      </w:r>
      <w:bookmarkStart w:id="5" w:name="_Hlk70197054"/>
      <w:r w:rsidR="00B93A26" w:rsidRPr="00B93A26">
        <w:rPr>
          <w:rFonts w:ascii="Times New Roman" w:eastAsia="Times New Roman" w:hAnsi="Times New Roman" w:cs="Times New Roman"/>
          <w:sz w:val="24"/>
          <w:szCs w:val="24"/>
          <w:lang w:eastAsia="es-MX"/>
        </w:rPr>
        <w:t>Kim y Nelson (1999)</w:t>
      </w:r>
      <w:r w:rsidR="00B93A26">
        <w:rPr>
          <w:rFonts w:ascii="Times New Roman" w:eastAsia="Times New Roman" w:hAnsi="Times New Roman" w:cs="Times New Roman"/>
          <w:sz w:val="24"/>
          <w:szCs w:val="24"/>
          <w:lang w:eastAsia="es-MX"/>
        </w:rPr>
        <w:t>,</w:t>
      </w:r>
      <w:r w:rsidR="00B93A26" w:rsidRPr="00B93A26">
        <w:rPr>
          <w:rFonts w:ascii="Times New Roman" w:eastAsia="Times New Roman" w:hAnsi="Times New Roman" w:cs="Times New Roman"/>
          <w:sz w:val="24"/>
          <w:szCs w:val="24"/>
          <w:lang w:eastAsia="es-MX"/>
        </w:rPr>
        <w:t xml:space="preserve"> </w:t>
      </w:r>
      <w:proofErr w:type="spellStart"/>
      <w:r w:rsidR="00B93A26" w:rsidRPr="00B93A26">
        <w:rPr>
          <w:rFonts w:ascii="Times New Roman" w:eastAsia="Times New Roman" w:hAnsi="Times New Roman" w:cs="Times New Roman"/>
          <w:sz w:val="24"/>
          <w:szCs w:val="24"/>
          <w:lang w:eastAsia="es-MX"/>
        </w:rPr>
        <w:t>McConnell</w:t>
      </w:r>
      <w:proofErr w:type="spellEnd"/>
      <w:r w:rsidR="00B93A26" w:rsidRPr="00B93A26">
        <w:rPr>
          <w:rFonts w:ascii="Times New Roman" w:eastAsia="Times New Roman" w:hAnsi="Times New Roman" w:cs="Times New Roman"/>
          <w:sz w:val="24"/>
          <w:szCs w:val="24"/>
          <w:lang w:eastAsia="es-MX"/>
        </w:rPr>
        <w:t xml:space="preserve"> y </w:t>
      </w:r>
      <w:proofErr w:type="spellStart"/>
      <w:r w:rsidR="00B93A26" w:rsidRPr="00B93A26">
        <w:rPr>
          <w:rFonts w:ascii="Times New Roman" w:eastAsia="Times New Roman" w:hAnsi="Times New Roman" w:cs="Times New Roman"/>
          <w:sz w:val="24"/>
          <w:szCs w:val="24"/>
          <w:lang w:eastAsia="es-MX"/>
        </w:rPr>
        <w:t>Perez-Quiros</w:t>
      </w:r>
      <w:proofErr w:type="spellEnd"/>
      <w:r w:rsidR="00B93A26" w:rsidRPr="00B93A26">
        <w:rPr>
          <w:rFonts w:ascii="Times New Roman" w:eastAsia="Times New Roman" w:hAnsi="Times New Roman" w:cs="Times New Roman"/>
          <w:sz w:val="24"/>
          <w:szCs w:val="24"/>
          <w:lang w:eastAsia="es-MX"/>
        </w:rPr>
        <w:t xml:space="preserve"> (2000)</w:t>
      </w:r>
      <w:r w:rsidR="00B93A26">
        <w:rPr>
          <w:rFonts w:ascii="Times New Roman" w:eastAsia="Times New Roman" w:hAnsi="Times New Roman" w:cs="Times New Roman"/>
          <w:sz w:val="24"/>
          <w:szCs w:val="24"/>
          <w:lang w:eastAsia="es-MX"/>
        </w:rPr>
        <w:t xml:space="preserve"> y</w:t>
      </w:r>
      <w:r w:rsidR="00B93A26" w:rsidRPr="00B93A26">
        <w:rPr>
          <w:rFonts w:ascii="Times New Roman" w:eastAsia="Times New Roman" w:hAnsi="Times New Roman" w:cs="Times New Roman"/>
          <w:sz w:val="24"/>
          <w:szCs w:val="24"/>
          <w:lang w:eastAsia="es-MX"/>
        </w:rPr>
        <w:t xml:space="preserve"> Kim</w:t>
      </w:r>
      <w:r w:rsidR="00B93A26">
        <w:rPr>
          <w:rFonts w:ascii="Times New Roman" w:eastAsia="Times New Roman" w:hAnsi="Times New Roman" w:cs="Times New Roman"/>
          <w:sz w:val="24"/>
          <w:szCs w:val="24"/>
          <w:lang w:eastAsia="es-MX"/>
        </w:rPr>
        <w:t xml:space="preserve"> et al.</w:t>
      </w:r>
      <w:r w:rsidR="00B93A26" w:rsidRPr="00B93A26">
        <w:rPr>
          <w:rFonts w:ascii="Times New Roman" w:eastAsia="Times New Roman" w:hAnsi="Times New Roman" w:cs="Times New Roman"/>
          <w:sz w:val="24"/>
          <w:szCs w:val="24"/>
          <w:lang w:eastAsia="es-MX"/>
        </w:rPr>
        <w:t xml:space="preserve"> (2003)</w:t>
      </w:r>
      <w:bookmarkEnd w:id="5"/>
      <w:r w:rsidR="00B93A26">
        <w:rPr>
          <w:rFonts w:ascii="Times New Roman" w:eastAsia="Times New Roman" w:hAnsi="Times New Roman" w:cs="Times New Roman"/>
          <w:sz w:val="24"/>
          <w:szCs w:val="24"/>
          <w:lang w:eastAsia="es-MX"/>
        </w:rPr>
        <w:t xml:space="preserve">, encuentran que en los decenios de la Gran Moderación se registró una notable disminución de la volatilidad del producto. </w:t>
      </w:r>
      <w:bookmarkStart w:id="6" w:name="_Hlk70197095"/>
      <w:r w:rsidR="00B93A26" w:rsidRPr="00B93A26">
        <w:rPr>
          <w:rFonts w:ascii="Times New Roman" w:eastAsia="Times New Roman" w:hAnsi="Times New Roman" w:cs="Times New Roman"/>
          <w:sz w:val="24"/>
          <w:szCs w:val="24"/>
          <w:lang w:eastAsia="es-MX"/>
        </w:rPr>
        <w:t>Warnock y Warnock (2000), además, sostienen que la volatilidad del empleo tambié</w:t>
      </w:r>
      <w:r w:rsidR="00B93A26">
        <w:rPr>
          <w:rFonts w:ascii="Times New Roman" w:eastAsia="Times New Roman" w:hAnsi="Times New Roman" w:cs="Times New Roman"/>
          <w:sz w:val="24"/>
          <w:szCs w:val="24"/>
          <w:lang w:eastAsia="es-MX"/>
        </w:rPr>
        <w:t xml:space="preserve">n ha disminuido. </w:t>
      </w:r>
      <w:r w:rsidR="00E60EBC">
        <w:rPr>
          <w:rFonts w:ascii="Times New Roman" w:eastAsia="Times New Roman" w:hAnsi="Times New Roman" w:cs="Times New Roman"/>
          <w:sz w:val="24"/>
          <w:szCs w:val="24"/>
          <w:lang w:eastAsia="es-MX"/>
        </w:rPr>
        <w:t xml:space="preserve">Efectivamente, en los años 1990 Estados Unidos experimentó la expansión sostenida sin recesiones más larga de su historia moderna, y en los años 1980 también hubo una expansión que se cuenta entre las más vigorosas. Blanchard y </w:t>
      </w:r>
      <w:proofErr w:type="spellStart"/>
      <w:r w:rsidR="00E60EBC">
        <w:rPr>
          <w:rFonts w:ascii="Times New Roman" w:eastAsia="Times New Roman" w:hAnsi="Times New Roman" w:cs="Times New Roman"/>
          <w:sz w:val="24"/>
          <w:szCs w:val="24"/>
          <w:lang w:eastAsia="es-MX"/>
        </w:rPr>
        <w:t>Simon</w:t>
      </w:r>
      <w:proofErr w:type="spellEnd"/>
      <w:r w:rsidR="00E60EBC">
        <w:rPr>
          <w:rFonts w:ascii="Times New Roman" w:eastAsia="Times New Roman" w:hAnsi="Times New Roman" w:cs="Times New Roman"/>
          <w:sz w:val="24"/>
          <w:szCs w:val="24"/>
          <w:lang w:eastAsia="es-MX"/>
        </w:rPr>
        <w:t xml:space="preserve"> (2001) comentan que la </w:t>
      </w:r>
      <w:r w:rsidR="002850E2">
        <w:rPr>
          <w:rFonts w:ascii="Times New Roman" w:eastAsia="Times New Roman" w:hAnsi="Times New Roman" w:cs="Times New Roman"/>
          <w:sz w:val="24"/>
          <w:szCs w:val="24"/>
          <w:lang w:eastAsia="es-MX"/>
        </w:rPr>
        <w:t xml:space="preserve">volatilidad de la </w:t>
      </w:r>
      <w:r w:rsidR="00E60EBC">
        <w:rPr>
          <w:rFonts w:ascii="Times New Roman" w:eastAsia="Times New Roman" w:hAnsi="Times New Roman" w:cs="Times New Roman"/>
          <w:sz w:val="24"/>
          <w:szCs w:val="24"/>
          <w:lang w:eastAsia="es-MX"/>
        </w:rPr>
        <w:t xml:space="preserve">inflación </w:t>
      </w:r>
      <w:r w:rsidR="002850E2">
        <w:rPr>
          <w:rFonts w:ascii="Times New Roman" w:eastAsia="Times New Roman" w:hAnsi="Times New Roman" w:cs="Times New Roman"/>
          <w:sz w:val="24"/>
          <w:szCs w:val="24"/>
          <w:lang w:eastAsia="es-MX"/>
        </w:rPr>
        <w:t>y del producto se</w:t>
      </w:r>
      <w:r w:rsidR="00E60EBC">
        <w:rPr>
          <w:rFonts w:ascii="Times New Roman" w:eastAsia="Times New Roman" w:hAnsi="Times New Roman" w:cs="Times New Roman"/>
          <w:sz w:val="24"/>
          <w:szCs w:val="24"/>
          <w:lang w:eastAsia="es-MX"/>
        </w:rPr>
        <w:t xml:space="preserve"> ha</w:t>
      </w:r>
      <w:r w:rsidR="002850E2">
        <w:rPr>
          <w:rFonts w:ascii="Times New Roman" w:eastAsia="Times New Roman" w:hAnsi="Times New Roman" w:cs="Times New Roman"/>
          <w:sz w:val="24"/>
          <w:szCs w:val="24"/>
          <w:lang w:eastAsia="es-MX"/>
        </w:rPr>
        <w:t>n</w:t>
      </w:r>
      <w:r w:rsidR="00E60EBC">
        <w:rPr>
          <w:rFonts w:ascii="Times New Roman" w:eastAsia="Times New Roman" w:hAnsi="Times New Roman" w:cs="Times New Roman"/>
          <w:sz w:val="24"/>
          <w:szCs w:val="24"/>
          <w:lang w:eastAsia="es-MX"/>
        </w:rPr>
        <w:t xml:space="preserve"> reducido </w:t>
      </w:r>
      <w:r w:rsidR="002850E2">
        <w:rPr>
          <w:rFonts w:ascii="Times New Roman" w:eastAsia="Times New Roman" w:hAnsi="Times New Roman" w:cs="Times New Roman"/>
          <w:sz w:val="24"/>
          <w:szCs w:val="24"/>
          <w:lang w:eastAsia="es-MX"/>
        </w:rPr>
        <w:t>en 50% y 66% respectivamente desde que inició la GM</w:t>
      </w:r>
      <w:r w:rsidR="00E60EBC">
        <w:rPr>
          <w:rFonts w:ascii="Times New Roman" w:eastAsia="Times New Roman" w:hAnsi="Times New Roman" w:cs="Times New Roman"/>
          <w:sz w:val="24"/>
          <w:szCs w:val="24"/>
          <w:lang w:eastAsia="es-MX"/>
        </w:rPr>
        <w:t>.</w:t>
      </w:r>
    </w:p>
    <w:p w14:paraId="636FF1A7" w14:textId="3CFDE721" w:rsidR="00991054" w:rsidRDefault="00BE7B5B" w:rsidP="00B93A26">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b/>
        <w:t>Ahmed et al. (2002)</w:t>
      </w:r>
      <w:bookmarkEnd w:id="6"/>
      <w:r>
        <w:rPr>
          <w:rFonts w:ascii="Times New Roman" w:eastAsia="Times New Roman" w:hAnsi="Times New Roman" w:cs="Times New Roman"/>
          <w:sz w:val="24"/>
          <w:szCs w:val="24"/>
          <w:lang w:eastAsia="es-MX"/>
        </w:rPr>
        <w:t xml:space="preserve"> discuten tres posibles hipótesis que concurren a explicar la Gran Moderación. </w:t>
      </w:r>
      <w:r w:rsidRPr="00BE7B5B">
        <w:rPr>
          <w:rFonts w:ascii="Times New Roman" w:eastAsia="Times New Roman" w:hAnsi="Times New Roman" w:cs="Times New Roman"/>
          <w:sz w:val="24"/>
          <w:szCs w:val="24"/>
          <w:lang w:eastAsia="es-MX"/>
        </w:rPr>
        <w:t>La primera es la “hipótesis de la buena suerte” q</w:t>
      </w:r>
      <w:r>
        <w:rPr>
          <w:rFonts w:ascii="Times New Roman" w:eastAsia="Times New Roman" w:hAnsi="Times New Roman" w:cs="Times New Roman"/>
          <w:sz w:val="24"/>
          <w:szCs w:val="24"/>
          <w:lang w:eastAsia="es-MX"/>
        </w:rPr>
        <w:t xml:space="preserve">ue consiste en que en los años de la GM los choques económicos fueron pocos y no muy significativos, por tanto, no es que </w:t>
      </w:r>
      <w:r>
        <w:rPr>
          <w:rFonts w:ascii="Times New Roman" w:eastAsia="Times New Roman" w:hAnsi="Times New Roman" w:cs="Times New Roman"/>
          <w:sz w:val="24"/>
          <w:szCs w:val="24"/>
          <w:lang w:eastAsia="es-MX"/>
        </w:rPr>
        <w:lastRenderedPageBreak/>
        <w:t xml:space="preserve">la economía de Estados Unidos se haya vuelto más estable per se </w:t>
      </w:r>
      <w:r w:rsidR="005A1A00">
        <w:rPr>
          <w:rFonts w:ascii="Times New Roman" w:eastAsia="Times New Roman" w:hAnsi="Times New Roman" w:cs="Times New Roman"/>
          <w:sz w:val="24"/>
          <w:szCs w:val="24"/>
          <w:lang w:eastAsia="es-MX"/>
        </w:rPr>
        <w:t>(Stock y Watson, 2003)</w:t>
      </w:r>
      <w:r>
        <w:rPr>
          <w:rFonts w:ascii="Times New Roman" w:eastAsia="Times New Roman" w:hAnsi="Times New Roman" w:cs="Times New Roman"/>
          <w:sz w:val="24"/>
          <w:szCs w:val="24"/>
          <w:lang w:eastAsia="es-MX"/>
        </w:rPr>
        <w:t xml:space="preserve">. </w:t>
      </w:r>
      <w:r w:rsidR="005A1A00">
        <w:rPr>
          <w:rFonts w:ascii="Times New Roman" w:eastAsia="Times New Roman" w:hAnsi="Times New Roman" w:cs="Times New Roman"/>
          <w:sz w:val="24"/>
          <w:szCs w:val="24"/>
          <w:lang w:eastAsia="es-MX"/>
        </w:rPr>
        <w:t xml:space="preserve">La segunda hipótesis refiere que la GM se debe a los cambios estructurales ocurridos en el periodo que han dado lugar a una mayor flexibilidad macroeconómica y a fluctuaciones cíclicas más benignas, por ejemplo, la mayor eficiencia en la administración de inventarios, el progreso tecnológico en los medios de comunicación y en la cibernética, cambios institucionales como la desregulación industrial, la innovación financiera, la transición productiva y el cambio en la composición del producto hacia una menor participación de las manufacturas y el mayor peso relativo de los servicios, la liberalización comercial y financiera. La tercera hipótesis </w:t>
      </w:r>
      <w:r w:rsidR="00926375">
        <w:rPr>
          <w:rFonts w:ascii="Times New Roman" w:eastAsia="Times New Roman" w:hAnsi="Times New Roman" w:cs="Times New Roman"/>
          <w:sz w:val="24"/>
          <w:szCs w:val="24"/>
          <w:lang w:eastAsia="es-MX"/>
        </w:rPr>
        <w:t>es la aplicación de un marco de política monetaria m</w:t>
      </w:r>
      <w:r w:rsidR="00202731">
        <w:rPr>
          <w:rFonts w:ascii="Times New Roman" w:eastAsia="Times New Roman" w:hAnsi="Times New Roman" w:cs="Times New Roman"/>
          <w:sz w:val="24"/>
          <w:szCs w:val="24"/>
          <w:lang w:eastAsia="es-MX"/>
        </w:rPr>
        <w:t>ás eficaz</w:t>
      </w:r>
      <w:r w:rsidR="00742F8C">
        <w:rPr>
          <w:rFonts w:ascii="Times New Roman" w:eastAsia="Times New Roman" w:hAnsi="Times New Roman" w:cs="Times New Roman"/>
          <w:sz w:val="24"/>
          <w:szCs w:val="24"/>
          <w:lang w:eastAsia="es-MX"/>
        </w:rPr>
        <w:t xml:space="preserve"> que reacciona más ante la volatilidad de la inflación que ante la volatilidad del producto y que concibe que las expectativas son un mecanismo para reducir la volatilidad macroeconómica</w:t>
      </w:r>
      <w:r w:rsidR="00926375">
        <w:rPr>
          <w:rFonts w:ascii="Times New Roman" w:eastAsia="Times New Roman" w:hAnsi="Times New Roman" w:cs="Times New Roman"/>
          <w:sz w:val="24"/>
          <w:szCs w:val="24"/>
          <w:lang w:eastAsia="es-MX"/>
        </w:rPr>
        <w:t>.</w:t>
      </w:r>
      <w:r w:rsidR="00742F8C">
        <w:rPr>
          <w:rFonts w:ascii="Times New Roman" w:eastAsia="Times New Roman" w:hAnsi="Times New Roman" w:cs="Times New Roman"/>
          <w:sz w:val="24"/>
          <w:szCs w:val="24"/>
          <w:lang w:eastAsia="es-MX"/>
        </w:rPr>
        <w:t xml:space="preserve"> Este marco de política monetaria es conocido como la curva de Taylor que establece la frontera de posibilidades de políticas eficientes, el objetivo es una tasa de inflación baja y estable y el instrumento de la política monetaria es la tasa de interés que reacciona ante las brechas de producto y de inflación con una regla monetaria </w:t>
      </w:r>
      <w:r w:rsidR="00742F8C" w:rsidRPr="00742F8C">
        <w:rPr>
          <w:rFonts w:ascii="Times New Roman" w:eastAsia="Times New Roman" w:hAnsi="Times New Roman" w:cs="Times New Roman"/>
          <w:i/>
          <w:iCs/>
          <w:sz w:val="24"/>
          <w:szCs w:val="24"/>
          <w:lang w:eastAsia="es-MX"/>
        </w:rPr>
        <w:t xml:space="preserve">forward </w:t>
      </w:r>
      <w:proofErr w:type="spellStart"/>
      <w:r w:rsidR="00742F8C" w:rsidRPr="00742F8C">
        <w:rPr>
          <w:rFonts w:ascii="Times New Roman" w:eastAsia="Times New Roman" w:hAnsi="Times New Roman" w:cs="Times New Roman"/>
          <w:i/>
          <w:iCs/>
          <w:sz w:val="24"/>
          <w:szCs w:val="24"/>
          <w:lang w:eastAsia="es-MX"/>
        </w:rPr>
        <w:t>looking</w:t>
      </w:r>
      <w:proofErr w:type="spellEnd"/>
      <w:r w:rsidR="00742F8C">
        <w:rPr>
          <w:rFonts w:ascii="Times New Roman" w:eastAsia="Times New Roman" w:hAnsi="Times New Roman" w:cs="Times New Roman"/>
          <w:sz w:val="24"/>
          <w:szCs w:val="24"/>
          <w:lang w:eastAsia="es-MX"/>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0F2607" w:rsidRPr="00427C3A" w14:paraId="68057B45" w14:textId="77777777" w:rsidTr="00FC72FD">
        <w:tc>
          <w:tcPr>
            <w:tcW w:w="8330" w:type="dxa"/>
            <w:vAlign w:val="center"/>
          </w:tcPr>
          <w:p w14:paraId="456E2BE5" w14:textId="54D90D61" w:rsidR="000F2607" w:rsidRPr="00427C3A" w:rsidRDefault="000F2607" w:rsidP="00FC72FD">
            <w:pPr>
              <w:spacing w:before="120" w:after="120" w:line="360" w:lineRule="auto"/>
              <w:jc w:val="center"/>
              <w:rPr>
                <w:rFonts w:ascii="Times New Roman" w:hAnsi="Times New Roman"/>
                <w:sz w:val="24"/>
                <w:szCs w:val="24"/>
              </w:rPr>
            </w:pPr>
            <m:oMath>
              <m:r>
                <w:rPr>
                  <w:rFonts w:ascii="Cambria Math" w:hAnsi="Cambria Math"/>
                  <w:sz w:val="24"/>
                  <w:szCs w:val="24"/>
                </w:rPr>
                <m:t>if=α</m:t>
              </m:r>
              <m:d>
                <m:dPr>
                  <m:ctrlPr>
                    <w:rPr>
                      <w:rFonts w:ascii="Cambria Math" w:hAnsi="Cambria Math"/>
                      <w:i/>
                      <w:sz w:val="24"/>
                      <w:szCs w:val="24"/>
                    </w:rPr>
                  </m:ctrlPr>
                </m:dPr>
                <m:e>
                  <m:r>
                    <w:rPr>
                      <w:rFonts w:ascii="Cambria Math" w:hAnsi="Cambria Math"/>
                      <w:sz w:val="24"/>
                      <w:szCs w:val="24"/>
                    </w:rPr>
                    <m:t>p-p*</m:t>
                  </m:r>
                </m:e>
              </m:d>
              <m:r>
                <w:rPr>
                  <w:rFonts w:ascii="Cambria Math" w:hAnsi="Cambria Math"/>
                  <w:sz w:val="24"/>
                  <w:szCs w:val="24"/>
                </w:rPr>
                <m:t>-β</m:t>
              </m:r>
              <m:d>
                <m:dPr>
                  <m:ctrlPr>
                    <w:rPr>
                      <w:rFonts w:ascii="Cambria Math" w:hAnsi="Cambria Math"/>
                      <w:i/>
                      <w:sz w:val="24"/>
                      <w:szCs w:val="24"/>
                    </w:rPr>
                  </m:ctrlPr>
                </m:dPr>
                <m:e>
                  <m:r>
                    <w:rPr>
                      <w:rFonts w:ascii="Cambria Math" w:hAnsi="Cambria Math"/>
                      <w:sz w:val="24"/>
                      <w:szCs w:val="24"/>
                    </w:rPr>
                    <m:t>y-y*</m:t>
                  </m:r>
                </m:e>
              </m:d>
            </m:oMath>
            <w:r>
              <w:rPr>
                <w:rFonts w:ascii="Georgia" w:eastAsiaTheme="minorEastAsia" w:hAnsi="Georgia"/>
                <w:sz w:val="24"/>
                <w:szCs w:val="24"/>
              </w:rPr>
              <w:t xml:space="preserve">,   </w:t>
            </w:r>
            <m:oMath>
              <m:d>
                <m:dPr>
                  <m:ctrlPr>
                    <w:rPr>
                      <w:rFonts w:ascii="Cambria Math" w:eastAsiaTheme="minorEastAsia" w:hAnsi="Cambria Math"/>
                      <w:i/>
                      <w:sz w:val="24"/>
                      <w:szCs w:val="24"/>
                    </w:rPr>
                  </m:ctrlPr>
                </m:dPr>
                <m:e>
                  <m:r>
                    <w:rPr>
                      <w:rFonts w:ascii="Cambria Math" w:eastAsiaTheme="minorEastAsia" w:hAnsi="Cambria Math"/>
                      <w:sz w:val="24"/>
                      <w:szCs w:val="24"/>
                    </w:rPr>
                    <m:t>α , β≥0</m:t>
                  </m:r>
                </m:e>
              </m:d>
              <m:r>
                <w:rPr>
                  <w:rFonts w:ascii="Cambria Math" w:eastAsiaTheme="minorEastAsia" w:hAnsi="Cambria Math"/>
                  <w:sz w:val="24"/>
                  <w:szCs w:val="24"/>
                </w:rPr>
                <m:t>;    α+β=1</m:t>
              </m:r>
            </m:oMath>
            <w:r>
              <w:rPr>
                <w:rFonts w:ascii="Georgia" w:eastAsiaTheme="minorEastAsia" w:hAnsi="Georgia"/>
                <w:sz w:val="24"/>
                <w:szCs w:val="24"/>
              </w:rPr>
              <w:tab/>
            </w:r>
          </w:p>
        </w:tc>
        <w:tc>
          <w:tcPr>
            <w:tcW w:w="648" w:type="dxa"/>
            <w:vAlign w:val="center"/>
          </w:tcPr>
          <w:p w14:paraId="2E96BE0B" w14:textId="16DB245E" w:rsidR="000F2607" w:rsidRPr="00427C3A" w:rsidRDefault="000F2607" w:rsidP="00FC72FD">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Pr>
                <w:rFonts w:ascii="Times New Roman" w:hAnsi="Times New Roman"/>
                <w:sz w:val="24"/>
                <w:szCs w:val="24"/>
              </w:rPr>
              <w:t>6</w:t>
            </w:r>
            <w:r w:rsidRPr="00427C3A">
              <w:rPr>
                <w:rFonts w:ascii="Times New Roman" w:hAnsi="Times New Roman"/>
                <w:sz w:val="24"/>
                <w:szCs w:val="24"/>
              </w:rPr>
              <w:t>)</w:t>
            </w:r>
          </w:p>
        </w:tc>
      </w:tr>
    </w:tbl>
    <w:p w14:paraId="600EEE4C" w14:textId="6F46CDF5" w:rsidR="00843D33" w:rsidRPr="005A1A00" w:rsidRDefault="00843D33" w:rsidP="00843D33">
      <w:pPr>
        <w:spacing w:line="360" w:lineRule="auto"/>
        <w:jc w:val="both"/>
        <w:rPr>
          <w:rFonts w:ascii="Times New Roman" w:eastAsia="Times New Roman" w:hAnsi="Times New Roman" w:cs="Times New Roman"/>
          <w:sz w:val="24"/>
          <w:szCs w:val="24"/>
          <w:lang w:eastAsia="es-MX"/>
        </w:rPr>
      </w:pPr>
      <w:r>
        <w:rPr>
          <w:rFonts w:ascii="Georgia" w:eastAsiaTheme="minorEastAsia" w:hAnsi="Georgia"/>
          <w:sz w:val="24"/>
          <w:szCs w:val="24"/>
        </w:rPr>
        <w:t xml:space="preserve">Donde </w:t>
      </w:r>
      <w:proofErr w:type="spellStart"/>
      <w:r w:rsidR="00284861" w:rsidRPr="00284861">
        <w:rPr>
          <w:rFonts w:ascii="Georgia" w:eastAsiaTheme="minorEastAsia" w:hAnsi="Georgia"/>
          <w:sz w:val="24"/>
          <w:szCs w:val="24"/>
        </w:rPr>
        <w:t>y</w:t>
      </w:r>
      <w:proofErr w:type="spellEnd"/>
      <w:r w:rsidR="00284861">
        <w:rPr>
          <w:rFonts w:ascii="Georgia" w:eastAsiaTheme="minorEastAsia" w:hAnsi="Georgia"/>
          <w:sz w:val="24"/>
          <w:szCs w:val="24"/>
        </w:rPr>
        <w:t xml:space="preserve">, </w:t>
      </w:r>
      <w:r w:rsidR="00284861" w:rsidRPr="00284861">
        <w:rPr>
          <w:rFonts w:ascii="Georgia" w:eastAsiaTheme="minorEastAsia" w:hAnsi="Georgia"/>
          <w:i/>
          <w:iCs/>
          <w:sz w:val="24"/>
          <w:szCs w:val="24"/>
        </w:rPr>
        <w:t>y*</w:t>
      </w:r>
      <w:r w:rsidR="00284861">
        <w:rPr>
          <w:rFonts w:ascii="Georgia" w:eastAsiaTheme="minorEastAsia" w:hAnsi="Georgia"/>
          <w:sz w:val="24"/>
          <w:szCs w:val="24"/>
        </w:rPr>
        <w:t xml:space="preserve">, </w:t>
      </w:r>
      <w:proofErr w:type="spellStart"/>
      <w:r w:rsidR="00284861" w:rsidRPr="007971FA">
        <w:rPr>
          <w:rFonts w:ascii="Georgia" w:eastAsiaTheme="minorEastAsia" w:hAnsi="Georgia"/>
          <w:i/>
          <w:iCs/>
          <w:sz w:val="24"/>
          <w:szCs w:val="24"/>
        </w:rPr>
        <w:t>if</w:t>
      </w:r>
      <w:proofErr w:type="spellEnd"/>
      <w:r w:rsidR="00284861">
        <w:rPr>
          <w:rFonts w:ascii="Georgia" w:eastAsiaTheme="minorEastAsia" w:hAnsi="Georgia"/>
          <w:sz w:val="24"/>
          <w:szCs w:val="24"/>
        </w:rPr>
        <w:t xml:space="preserve">, </w:t>
      </w:r>
      <w:r w:rsidR="00284861" w:rsidRPr="00284861">
        <w:rPr>
          <w:rFonts w:ascii="Georgia" w:eastAsiaTheme="minorEastAsia" w:hAnsi="Georgia"/>
          <w:i/>
          <w:iCs/>
          <w:sz w:val="24"/>
          <w:szCs w:val="24"/>
        </w:rPr>
        <w:t>p</w:t>
      </w:r>
      <w:r w:rsidR="00284861">
        <w:rPr>
          <w:rFonts w:ascii="Georgia" w:eastAsiaTheme="minorEastAsia" w:hAnsi="Georgia"/>
          <w:sz w:val="24"/>
          <w:szCs w:val="24"/>
        </w:rPr>
        <w:t xml:space="preserve"> y </w:t>
      </w:r>
      <w:r w:rsidR="00284861" w:rsidRPr="00284861">
        <w:rPr>
          <w:rFonts w:ascii="Georgia" w:eastAsiaTheme="minorEastAsia" w:hAnsi="Georgia"/>
          <w:i/>
          <w:iCs/>
          <w:sz w:val="24"/>
          <w:szCs w:val="24"/>
        </w:rPr>
        <w:t>p*</w:t>
      </w:r>
      <w:r w:rsidR="00284861">
        <w:rPr>
          <w:rFonts w:ascii="Georgia" w:eastAsiaTheme="minorEastAsia" w:hAnsi="Georgia"/>
          <w:sz w:val="24"/>
          <w:szCs w:val="24"/>
        </w:rPr>
        <w:t xml:space="preserve"> son el producto observado, el producto potencial, </w:t>
      </w:r>
      <w:r>
        <w:rPr>
          <w:rFonts w:ascii="Georgia" w:eastAsiaTheme="minorEastAsia" w:hAnsi="Georgia"/>
          <w:sz w:val="24"/>
          <w:szCs w:val="24"/>
        </w:rPr>
        <w:t>la tasa de interés de los fondos federales</w:t>
      </w:r>
      <w:r w:rsidR="00284861">
        <w:rPr>
          <w:rFonts w:ascii="Georgia" w:eastAsiaTheme="minorEastAsia" w:hAnsi="Georgia"/>
          <w:sz w:val="24"/>
          <w:szCs w:val="24"/>
        </w:rPr>
        <w:t xml:space="preserve">, la tasa de inflación observada y la meta de inflación respectivamente. </w:t>
      </w:r>
    </w:p>
    <w:p w14:paraId="729E331D" w14:textId="237178B0" w:rsidR="00A2537C" w:rsidRPr="00A2537C" w:rsidRDefault="00A2537C" w:rsidP="00A97CDA">
      <w:pPr>
        <w:spacing w:line="360" w:lineRule="auto"/>
        <w:jc w:val="both"/>
        <w:rPr>
          <w:rFonts w:ascii="Times New Roman" w:eastAsia="Times New Roman" w:hAnsi="Times New Roman" w:cs="Times New Roman"/>
          <w:b/>
          <w:bCs/>
          <w:sz w:val="24"/>
          <w:szCs w:val="24"/>
          <w:lang w:eastAsia="es-MX"/>
        </w:rPr>
      </w:pPr>
      <w:r w:rsidRPr="00A2537C">
        <w:rPr>
          <w:rFonts w:ascii="Times New Roman" w:eastAsia="Times New Roman" w:hAnsi="Times New Roman" w:cs="Times New Roman"/>
          <w:b/>
          <w:bCs/>
          <w:sz w:val="24"/>
          <w:szCs w:val="24"/>
          <w:lang w:eastAsia="es-MX"/>
        </w:rPr>
        <w:t>2.3. La política monetaria no convencional</w:t>
      </w:r>
    </w:p>
    <w:p w14:paraId="1D989C66" w14:textId="5704EA52" w:rsidR="00802C4C" w:rsidRPr="006132BF" w:rsidRDefault="00742F8C" w:rsidP="00A97CDA">
      <w:pPr>
        <w:spacing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Gran Crisis financiera de 2007-2008 constituye un parteaguas en la práctica de política monetaria con base en la regla de Taylor</w:t>
      </w:r>
      <w:r w:rsidR="00873F24">
        <w:rPr>
          <w:rFonts w:ascii="Times New Roman" w:eastAsia="Times New Roman" w:hAnsi="Times New Roman" w:cs="Times New Roman"/>
          <w:sz w:val="24"/>
          <w:szCs w:val="24"/>
          <w:lang w:eastAsia="es-MX"/>
        </w:rPr>
        <w:t xml:space="preserve"> (</w:t>
      </w:r>
      <w:r w:rsidR="00927970">
        <w:rPr>
          <w:rFonts w:ascii="Times New Roman" w:eastAsia="Times New Roman" w:hAnsi="Times New Roman" w:cs="Times New Roman"/>
          <w:sz w:val="24"/>
          <w:szCs w:val="24"/>
          <w:lang w:eastAsia="es-MX"/>
        </w:rPr>
        <w:t xml:space="preserve">1993, </w:t>
      </w:r>
      <w:r w:rsidR="00873F24">
        <w:rPr>
          <w:rFonts w:ascii="Times New Roman" w:eastAsia="Times New Roman" w:hAnsi="Times New Roman" w:cs="Times New Roman"/>
          <w:sz w:val="24"/>
          <w:szCs w:val="24"/>
          <w:lang w:eastAsia="es-MX"/>
        </w:rPr>
        <w:t>1999)</w:t>
      </w:r>
      <w:r>
        <w:rPr>
          <w:rFonts w:ascii="Times New Roman" w:eastAsia="Times New Roman" w:hAnsi="Times New Roman" w:cs="Times New Roman"/>
          <w:sz w:val="24"/>
          <w:szCs w:val="24"/>
          <w:lang w:eastAsia="es-MX"/>
        </w:rPr>
        <w:t xml:space="preserve">. </w:t>
      </w:r>
      <w:r w:rsidR="00284861">
        <w:rPr>
          <w:rFonts w:ascii="Times New Roman" w:eastAsia="Times New Roman" w:hAnsi="Times New Roman" w:cs="Times New Roman"/>
          <w:sz w:val="24"/>
          <w:szCs w:val="24"/>
          <w:lang w:eastAsia="es-MX"/>
        </w:rPr>
        <w:t xml:space="preserve">Al estallar la crisis la Fed redujo drásticamente </w:t>
      </w:r>
      <w:proofErr w:type="spellStart"/>
      <w:proofErr w:type="gramStart"/>
      <w:r w:rsidR="00284861" w:rsidRPr="00284861">
        <w:rPr>
          <w:rFonts w:ascii="Times New Roman" w:eastAsia="Times New Roman" w:hAnsi="Times New Roman" w:cs="Times New Roman"/>
          <w:i/>
          <w:iCs/>
          <w:sz w:val="24"/>
          <w:szCs w:val="24"/>
          <w:lang w:eastAsia="es-MX"/>
        </w:rPr>
        <w:t>if</w:t>
      </w:r>
      <w:proofErr w:type="spellEnd"/>
      <w:r w:rsidR="00284861">
        <w:rPr>
          <w:rFonts w:ascii="Times New Roman" w:eastAsia="Times New Roman" w:hAnsi="Times New Roman" w:cs="Times New Roman"/>
          <w:sz w:val="24"/>
          <w:szCs w:val="24"/>
          <w:lang w:eastAsia="es-MX"/>
        </w:rPr>
        <w:t xml:space="preserve"> </w:t>
      </w:r>
      <w:r w:rsidR="00B37156">
        <w:rPr>
          <w:rFonts w:ascii="Times New Roman" w:eastAsia="Times New Roman" w:hAnsi="Times New Roman" w:cs="Times New Roman"/>
          <w:sz w:val="24"/>
          <w:szCs w:val="24"/>
          <w:lang w:eastAsia="es-MX"/>
        </w:rPr>
        <w:t xml:space="preserve"> a</w:t>
      </w:r>
      <w:proofErr w:type="gramEnd"/>
      <w:r w:rsidR="00B37156">
        <w:rPr>
          <w:rFonts w:ascii="Times New Roman" w:eastAsia="Times New Roman" w:hAnsi="Times New Roman" w:cs="Times New Roman"/>
          <w:sz w:val="24"/>
          <w:szCs w:val="24"/>
          <w:lang w:eastAsia="es-MX"/>
        </w:rPr>
        <w:t xml:space="preserve"> 0.25% </w:t>
      </w:r>
      <w:r w:rsidR="00284861">
        <w:rPr>
          <w:rFonts w:ascii="Times New Roman" w:eastAsia="Times New Roman" w:hAnsi="Times New Roman" w:cs="Times New Roman"/>
          <w:sz w:val="24"/>
          <w:szCs w:val="24"/>
          <w:lang w:eastAsia="es-MX"/>
        </w:rPr>
        <w:t xml:space="preserve">y la mantuvo en el límite cero entre 2009 y 2015; aunque en 2016 la aumentó </w:t>
      </w:r>
      <w:r w:rsidR="00B37156">
        <w:rPr>
          <w:rFonts w:ascii="Times New Roman" w:eastAsia="Times New Roman" w:hAnsi="Times New Roman" w:cs="Times New Roman"/>
          <w:sz w:val="24"/>
          <w:szCs w:val="24"/>
          <w:lang w:eastAsia="es-MX"/>
        </w:rPr>
        <w:t xml:space="preserve">a 0.5% </w:t>
      </w:r>
      <w:r w:rsidR="00284861">
        <w:rPr>
          <w:rFonts w:ascii="Times New Roman" w:eastAsia="Times New Roman" w:hAnsi="Times New Roman" w:cs="Times New Roman"/>
          <w:sz w:val="24"/>
          <w:szCs w:val="24"/>
          <w:lang w:eastAsia="es-MX"/>
        </w:rPr>
        <w:t xml:space="preserve">como señal de un </w:t>
      </w:r>
      <w:r w:rsidR="00B37156">
        <w:rPr>
          <w:rFonts w:ascii="Times New Roman" w:eastAsia="Times New Roman" w:hAnsi="Times New Roman" w:cs="Times New Roman"/>
          <w:sz w:val="24"/>
          <w:szCs w:val="24"/>
          <w:lang w:eastAsia="es-MX"/>
        </w:rPr>
        <w:t xml:space="preserve">cauto </w:t>
      </w:r>
      <w:r w:rsidR="00284861">
        <w:rPr>
          <w:rFonts w:ascii="Times New Roman" w:eastAsia="Times New Roman" w:hAnsi="Times New Roman" w:cs="Times New Roman"/>
          <w:sz w:val="24"/>
          <w:szCs w:val="24"/>
          <w:lang w:eastAsia="es-MX"/>
        </w:rPr>
        <w:t>retorno a la normalidad</w:t>
      </w:r>
      <w:r w:rsidR="00B37156">
        <w:rPr>
          <w:rFonts w:ascii="Times New Roman" w:eastAsia="Times New Roman" w:hAnsi="Times New Roman" w:cs="Times New Roman"/>
          <w:sz w:val="24"/>
          <w:szCs w:val="24"/>
          <w:lang w:eastAsia="es-MX"/>
        </w:rPr>
        <w:t xml:space="preserve"> y luego a 2.5% en 2019, ante el impacto económico de la pandemia Covid-19 ha vuelto a reducirla al límite cero desde 2020. Además, como dijo </w:t>
      </w:r>
      <w:proofErr w:type="spellStart"/>
      <w:r w:rsidR="00B37156">
        <w:rPr>
          <w:rFonts w:ascii="Times New Roman" w:eastAsia="Times New Roman" w:hAnsi="Times New Roman" w:cs="Times New Roman"/>
          <w:sz w:val="24"/>
          <w:szCs w:val="24"/>
          <w:lang w:eastAsia="es-MX"/>
        </w:rPr>
        <w:t>Bernanke</w:t>
      </w:r>
      <w:proofErr w:type="spellEnd"/>
      <w:r w:rsidR="00B37156">
        <w:rPr>
          <w:rFonts w:ascii="Times New Roman" w:eastAsia="Times New Roman" w:hAnsi="Times New Roman" w:cs="Times New Roman"/>
          <w:sz w:val="24"/>
          <w:szCs w:val="24"/>
          <w:lang w:eastAsia="es-MX"/>
        </w:rPr>
        <w:t xml:space="preserve"> (201</w:t>
      </w:r>
      <w:r w:rsidR="00503F33">
        <w:rPr>
          <w:rFonts w:ascii="Times New Roman" w:eastAsia="Times New Roman" w:hAnsi="Times New Roman" w:cs="Times New Roman"/>
          <w:sz w:val="24"/>
          <w:szCs w:val="24"/>
          <w:lang w:eastAsia="es-MX"/>
        </w:rPr>
        <w:t>2</w:t>
      </w:r>
      <w:r w:rsidR="00B37156">
        <w:rPr>
          <w:rFonts w:ascii="Times New Roman" w:eastAsia="Times New Roman" w:hAnsi="Times New Roman" w:cs="Times New Roman"/>
          <w:sz w:val="24"/>
          <w:szCs w:val="24"/>
          <w:lang w:eastAsia="es-MX"/>
        </w:rPr>
        <w:t>), la política monetaria convencional, la que se considera como la causa de la GM, llegó a su límite en 2008, y desde entonces la Fed s</w:t>
      </w:r>
      <w:r w:rsidR="00BD675A">
        <w:rPr>
          <w:rFonts w:ascii="Times New Roman" w:eastAsia="Times New Roman" w:hAnsi="Times New Roman" w:cs="Times New Roman"/>
          <w:sz w:val="24"/>
          <w:szCs w:val="24"/>
          <w:lang w:eastAsia="es-MX"/>
        </w:rPr>
        <w:t xml:space="preserve">igue una política monetaria no convencional orientada a reducir la tasa de interés de largo plazo mediante compras masivas de activos financieros, </w:t>
      </w:r>
      <w:proofErr w:type="spellStart"/>
      <w:r w:rsidR="00BD675A">
        <w:rPr>
          <w:rFonts w:ascii="Times New Roman" w:eastAsia="Times New Roman" w:hAnsi="Times New Roman" w:cs="Times New Roman"/>
          <w:sz w:val="24"/>
          <w:szCs w:val="24"/>
          <w:lang w:eastAsia="es-MX"/>
        </w:rPr>
        <w:t>quantitative</w:t>
      </w:r>
      <w:proofErr w:type="spellEnd"/>
      <w:r w:rsidR="00BD675A">
        <w:rPr>
          <w:rFonts w:ascii="Times New Roman" w:eastAsia="Times New Roman" w:hAnsi="Times New Roman" w:cs="Times New Roman"/>
          <w:sz w:val="24"/>
          <w:szCs w:val="24"/>
          <w:lang w:eastAsia="es-MX"/>
        </w:rPr>
        <w:t xml:space="preserve"> </w:t>
      </w:r>
      <w:proofErr w:type="spellStart"/>
      <w:r w:rsidR="00BD675A">
        <w:rPr>
          <w:rFonts w:ascii="Times New Roman" w:eastAsia="Times New Roman" w:hAnsi="Times New Roman" w:cs="Times New Roman"/>
          <w:sz w:val="24"/>
          <w:szCs w:val="24"/>
          <w:lang w:eastAsia="es-MX"/>
        </w:rPr>
        <w:t>easing</w:t>
      </w:r>
      <w:proofErr w:type="spellEnd"/>
      <w:r w:rsidR="00BD675A">
        <w:rPr>
          <w:rFonts w:ascii="Times New Roman" w:eastAsia="Times New Roman" w:hAnsi="Times New Roman" w:cs="Times New Roman"/>
          <w:sz w:val="24"/>
          <w:szCs w:val="24"/>
          <w:lang w:eastAsia="es-MX"/>
        </w:rPr>
        <w:t xml:space="preserve"> y </w:t>
      </w:r>
      <w:proofErr w:type="spellStart"/>
      <w:r w:rsidR="00BD675A">
        <w:rPr>
          <w:rFonts w:ascii="Times New Roman" w:eastAsia="Times New Roman" w:hAnsi="Times New Roman" w:cs="Times New Roman"/>
          <w:sz w:val="24"/>
          <w:szCs w:val="24"/>
          <w:lang w:eastAsia="es-MX"/>
        </w:rPr>
        <w:t>credit</w:t>
      </w:r>
      <w:proofErr w:type="spellEnd"/>
      <w:r w:rsidR="00BD675A">
        <w:rPr>
          <w:rFonts w:ascii="Times New Roman" w:eastAsia="Times New Roman" w:hAnsi="Times New Roman" w:cs="Times New Roman"/>
          <w:sz w:val="24"/>
          <w:szCs w:val="24"/>
          <w:lang w:eastAsia="es-MX"/>
        </w:rPr>
        <w:t xml:space="preserve"> </w:t>
      </w:r>
      <w:proofErr w:type="spellStart"/>
      <w:r w:rsidR="00BD675A">
        <w:rPr>
          <w:rFonts w:ascii="Times New Roman" w:eastAsia="Times New Roman" w:hAnsi="Times New Roman" w:cs="Times New Roman"/>
          <w:sz w:val="24"/>
          <w:szCs w:val="24"/>
          <w:lang w:eastAsia="es-MX"/>
        </w:rPr>
        <w:t>easing</w:t>
      </w:r>
      <w:proofErr w:type="spellEnd"/>
      <w:r w:rsidR="00BD675A">
        <w:rPr>
          <w:rFonts w:ascii="Times New Roman" w:eastAsia="Times New Roman" w:hAnsi="Times New Roman" w:cs="Times New Roman"/>
          <w:sz w:val="24"/>
          <w:szCs w:val="24"/>
          <w:lang w:eastAsia="es-MX"/>
        </w:rPr>
        <w:t xml:space="preserve">. </w:t>
      </w:r>
    </w:p>
    <w:p w14:paraId="1D711913" w14:textId="05E09FC7" w:rsidR="00375950" w:rsidRDefault="00375950" w:rsidP="00A2537C">
      <w:pPr>
        <w:spacing w:line="360" w:lineRule="auto"/>
        <w:ind w:firstLine="708"/>
        <w:jc w:val="both"/>
        <w:rPr>
          <w:rFonts w:ascii="Times New Roman" w:hAnsi="Times New Roman" w:cs="Times New Roman"/>
          <w:sz w:val="24"/>
          <w:szCs w:val="24"/>
        </w:rPr>
      </w:pPr>
      <w:proofErr w:type="spellStart"/>
      <w:r w:rsidRPr="00B15BFA">
        <w:rPr>
          <w:rFonts w:ascii="Times New Roman" w:hAnsi="Times New Roman" w:cs="Times New Roman"/>
          <w:sz w:val="24"/>
          <w:szCs w:val="24"/>
        </w:rPr>
        <w:lastRenderedPageBreak/>
        <w:t>Akram</w:t>
      </w:r>
      <w:proofErr w:type="spellEnd"/>
      <w:r w:rsidRPr="00B15BFA">
        <w:rPr>
          <w:rFonts w:ascii="Times New Roman" w:hAnsi="Times New Roman" w:cs="Times New Roman"/>
          <w:sz w:val="24"/>
          <w:szCs w:val="24"/>
        </w:rPr>
        <w:t xml:space="preserve"> </w:t>
      </w:r>
      <w:r w:rsidRPr="00B15BFA">
        <w:rPr>
          <w:rFonts w:ascii="Times New Roman" w:hAnsi="Times New Roman" w:cs="Times New Roman"/>
          <w:i/>
          <w:iCs/>
          <w:sz w:val="24"/>
          <w:szCs w:val="24"/>
        </w:rPr>
        <w:t>et al</w:t>
      </w:r>
      <w:r w:rsidRPr="00B15BFA">
        <w:rPr>
          <w:rFonts w:ascii="Times New Roman" w:hAnsi="Times New Roman" w:cs="Times New Roman"/>
          <w:sz w:val="24"/>
          <w:szCs w:val="24"/>
        </w:rPr>
        <w:t xml:space="preserve"> (2016) </w:t>
      </w:r>
      <w:r>
        <w:rPr>
          <w:rFonts w:ascii="Times New Roman" w:hAnsi="Times New Roman" w:cs="Times New Roman"/>
          <w:sz w:val="24"/>
          <w:szCs w:val="24"/>
        </w:rPr>
        <w:t>elaboran un modelo que incorpora diversas acciones del Banco Central para conocer los principales determinantes de la tasa de interés en el largo plazo. Para una muestra de los años sesenta al 2014 a través de un modelo VEC encuentran evidencia que la tasa de interés en el corto plazo no sólo controla l</w:t>
      </w:r>
      <w:r w:rsidRPr="00A33C11">
        <w:rPr>
          <w:rFonts w:ascii="Times New Roman" w:hAnsi="Times New Roman" w:cs="Times New Roman"/>
          <w:sz w:val="24"/>
          <w:szCs w:val="24"/>
        </w:rPr>
        <w:t xml:space="preserve">as variables </w:t>
      </w:r>
      <w:r>
        <w:rPr>
          <w:rFonts w:ascii="Times New Roman" w:hAnsi="Times New Roman" w:cs="Times New Roman"/>
          <w:sz w:val="24"/>
          <w:szCs w:val="24"/>
        </w:rPr>
        <w:t>como</w:t>
      </w:r>
      <w:r w:rsidRPr="00A33C11">
        <w:rPr>
          <w:rFonts w:ascii="Times New Roman" w:hAnsi="Times New Roman" w:cs="Times New Roman"/>
          <w:sz w:val="24"/>
          <w:szCs w:val="24"/>
        </w:rPr>
        <w:t xml:space="preserve"> la tasa de inflación</w:t>
      </w:r>
      <w:r>
        <w:rPr>
          <w:rFonts w:ascii="Times New Roman" w:hAnsi="Times New Roman" w:cs="Times New Roman"/>
          <w:sz w:val="24"/>
          <w:szCs w:val="24"/>
        </w:rPr>
        <w:t>,</w:t>
      </w:r>
      <w:r w:rsidRPr="00A33C11">
        <w:rPr>
          <w:rFonts w:ascii="Times New Roman" w:hAnsi="Times New Roman" w:cs="Times New Roman"/>
          <w:sz w:val="24"/>
          <w:szCs w:val="24"/>
        </w:rPr>
        <w:t xml:space="preserve"> l</w:t>
      </w:r>
      <w:r>
        <w:rPr>
          <w:rFonts w:ascii="Times New Roman" w:hAnsi="Times New Roman" w:cs="Times New Roman"/>
          <w:sz w:val="24"/>
          <w:szCs w:val="24"/>
        </w:rPr>
        <w:t xml:space="preserve">a tasa de actividad económica, déficit fiscal, deuda gubernamental también determina la tasa de interés de largo plazo en los Estados Unidos de América.  Lo anterior se comprueba en el análisis de la función de impulso-respuesta entre la tasa de interés de corto plazo con la tasa de inflación y en la tasa de interés en el largo plazo. Adicionalmente, se demuestra que ambas tasas de interés están </w:t>
      </w:r>
      <w:proofErr w:type="spellStart"/>
      <w:r>
        <w:rPr>
          <w:rFonts w:ascii="Times New Roman" w:hAnsi="Times New Roman" w:cs="Times New Roman"/>
          <w:sz w:val="24"/>
          <w:szCs w:val="24"/>
        </w:rPr>
        <w:t>cointegradas</w:t>
      </w:r>
      <w:proofErr w:type="spellEnd"/>
      <w:r>
        <w:rPr>
          <w:rFonts w:ascii="Times New Roman" w:hAnsi="Times New Roman" w:cs="Times New Roman"/>
          <w:sz w:val="24"/>
          <w:szCs w:val="24"/>
        </w:rPr>
        <w:t>.</w:t>
      </w:r>
    </w:p>
    <w:p w14:paraId="16DBA6ED" w14:textId="1377D326" w:rsidR="00375950" w:rsidRDefault="00375950" w:rsidP="0037595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337F56">
        <w:rPr>
          <w:rFonts w:ascii="Times New Roman" w:hAnsi="Times New Roman" w:cs="Times New Roman"/>
          <w:sz w:val="24"/>
          <w:szCs w:val="24"/>
        </w:rPr>
        <w:t xml:space="preserve">En </w:t>
      </w:r>
      <w:r>
        <w:rPr>
          <w:rFonts w:ascii="Times New Roman" w:hAnsi="Times New Roman" w:cs="Times New Roman"/>
          <w:sz w:val="24"/>
          <w:szCs w:val="24"/>
        </w:rPr>
        <w:t>particular,</w:t>
      </w:r>
      <w:r w:rsidRPr="00337F56">
        <w:rPr>
          <w:rFonts w:ascii="Times New Roman" w:hAnsi="Times New Roman" w:cs="Times New Roman"/>
          <w:sz w:val="24"/>
          <w:szCs w:val="24"/>
        </w:rPr>
        <w:t xml:space="preserve"> </w:t>
      </w:r>
      <w:r>
        <w:rPr>
          <w:rFonts w:ascii="Times New Roman" w:hAnsi="Times New Roman" w:cs="Times New Roman"/>
          <w:sz w:val="24"/>
          <w:szCs w:val="24"/>
        </w:rPr>
        <w:t xml:space="preserve">en Estados Unidos se observa que </w:t>
      </w:r>
      <w:r w:rsidRPr="00337F56">
        <w:rPr>
          <w:rFonts w:ascii="Times New Roman" w:hAnsi="Times New Roman" w:cs="Times New Roman"/>
          <w:sz w:val="24"/>
          <w:szCs w:val="24"/>
        </w:rPr>
        <w:t xml:space="preserve">las variables </w:t>
      </w:r>
      <w:r>
        <w:rPr>
          <w:rFonts w:ascii="Times New Roman" w:hAnsi="Times New Roman" w:cs="Times New Roman"/>
          <w:sz w:val="24"/>
          <w:szCs w:val="24"/>
        </w:rPr>
        <w:t>correspondientes al</w:t>
      </w:r>
      <w:r w:rsidRPr="00337F56">
        <w:rPr>
          <w:rFonts w:ascii="Times New Roman" w:hAnsi="Times New Roman" w:cs="Times New Roman"/>
          <w:sz w:val="24"/>
          <w:szCs w:val="24"/>
        </w:rPr>
        <w:t xml:space="preserve"> sector público como los balances y endeudamiento</w:t>
      </w:r>
      <w:r>
        <w:rPr>
          <w:rFonts w:ascii="Times New Roman" w:hAnsi="Times New Roman" w:cs="Times New Roman"/>
          <w:sz w:val="24"/>
          <w:szCs w:val="24"/>
        </w:rPr>
        <w:t xml:space="preserve"> fiscal como participación del PIB no es claro si ejercen un efecto en las tasas de interés en el largo plazo. </w:t>
      </w:r>
      <w:r w:rsidRPr="00337F56">
        <w:rPr>
          <w:rFonts w:ascii="Times New Roman" w:hAnsi="Times New Roman" w:cs="Times New Roman"/>
          <w:sz w:val="24"/>
          <w:szCs w:val="24"/>
        </w:rPr>
        <w:t xml:space="preserve">En este sentido, se comprueba </w:t>
      </w:r>
      <w:r>
        <w:rPr>
          <w:rFonts w:ascii="Times New Roman" w:hAnsi="Times New Roman" w:cs="Times New Roman"/>
          <w:sz w:val="24"/>
          <w:szCs w:val="24"/>
        </w:rPr>
        <w:t>que las acciones del Banco Central son las que determinan las tasas de interés de largo plazo como afirmaba</w:t>
      </w:r>
      <w:r w:rsidRPr="00337F56">
        <w:rPr>
          <w:rFonts w:ascii="Times New Roman" w:hAnsi="Times New Roman" w:cs="Times New Roman"/>
          <w:sz w:val="24"/>
          <w:szCs w:val="24"/>
        </w:rPr>
        <w:t xml:space="preserve"> J.M. Keynes</w:t>
      </w:r>
      <w:r>
        <w:rPr>
          <w:rFonts w:ascii="Times New Roman" w:hAnsi="Times New Roman" w:cs="Times New Roman"/>
          <w:sz w:val="24"/>
          <w:szCs w:val="24"/>
        </w:rPr>
        <w:t xml:space="preserve"> </w:t>
      </w:r>
      <w:r w:rsidR="00A2537C">
        <w:rPr>
          <w:rFonts w:ascii="Times New Roman" w:hAnsi="Times New Roman" w:cs="Times New Roman"/>
          <w:sz w:val="24"/>
          <w:szCs w:val="24"/>
        </w:rPr>
        <w:t xml:space="preserve">en 1930 </w:t>
      </w:r>
      <w:r>
        <w:rPr>
          <w:rFonts w:ascii="Times New Roman" w:hAnsi="Times New Roman" w:cs="Times New Roman"/>
          <w:sz w:val="24"/>
          <w:szCs w:val="24"/>
        </w:rPr>
        <w:t xml:space="preserve">en su </w:t>
      </w:r>
      <w:proofErr w:type="spellStart"/>
      <w:r w:rsidRPr="00A2537C">
        <w:rPr>
          <w:rFonts w:ascii="Times New Roman" w:hAnsi="Times New Roman" w:cs="Times New Roman"/>
          <w:i/>
          <w:iCs/>
          <w:sz w:val="24"/>
          <w:szCs w:val="24"/>
        </w:rPr>
        <w:t>Treatise</w:t>
      </w:r>
      <w:proofErr w:type="spellEnd"/>
      <w:r w:rsidRPr="00A2537C">
        <w:rPr>
          <w:rFonts w:ascii="Times New Roman" w:hAnsi="Times New Roman" w:cs="Times New Roman"/>
          <w:i/>
          <w:iCs/>
          <w:sz w:val="24"/>
          <w:szCs w:val="24"/>
        </w:rPr>
        <w:t xml:space="preserve"> of Money</w:t>
      </w:r>
      <w:r>
        <w:rPr>
          <w:rFonts w:ascii="Times New Roman" w:hAnsi="Times New Roman" w:cs="Times New Roman"/>
          <w:sz w:val="24"/>
          <w:szCs w:val="24"/>
        </w:rPr>
        <w:t>.</w:t>
      </w:r>
    </w:p>
    <w:p w14:paraId="039F8E58" w14:textId="77777777" w:rsidR="00375950" w:rsidRPr="00337F56" w:rsidRDefault="00375950" w:rsidP="00A2537C">
      <w:pPr>
        <w:spacing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Levrero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Deleidi</w:t>
      </w:r>
      <w:proofErr w:type="spellEnd"/>
      <w:r>
        <w:rPr>
          <w:rFonts w:ascii="Times New Roman" w:hAnsi="Times New Roman" w:cs="Times New Roman"/>
          <w:sz w:val="24"/>
          <w:szCs w:val="24"/>
        </w:rPr>
        <w:t xml:space="preserve"> (2019) realizan un estudio empírico para conocer si a través de la tasa de interés de corto plazo como mecanismo de política monetaria que ejerce la Reserva Federal en Estados Unidos de América provoca un efecto en las tasas de interés en el largo plazo. Primero, se aplica un modelo estructural de vector autorregresivo para conocer si existe una relación causal entre las tasas de interés de corto y largo plazo</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correspondiente a una muestra con datos mensuales del período entre 1954-2018. A través de la aplicación de un vector estructural autorregresivo se comprueba que la política monetaria ejerce un efecto permanente en el tiempo sobre ambas tasas de interés.  También se demuestra en este estudio que la afirmación de J.K. Keynes antes mencionada es válida por medio de la aplicación de la función de impulso-respuesta hecho que se reitera en la función de descomposición de error de la varianza. A través de este último análisis se valida la existencia de un grado de libertad de la política monetaria que influye en la tasa de interés en el corto plazo.</w:t>
      </w:r>
    </w:p>
    <w:p w14:paraId="3BB9CF5D" w14:textId="61D1499E" w:rsidR="00375950" w:rsidRPr="00773CAC" w:rsidRDefault="00375950" w:rsidP="00A2537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impacto del COVID19 en marzo del año pasado en la producción y la inversión provocaron la caída en la actividad económica como también en la bolsa de valores en </w:t>
      </w:r>
      <w:r>
        <w:rPr>
          <w:rFonts w:ascii="Times New Roman" w:hAnsi="Times New Roman" w:cs="Times New Roman"/>
          <w:sz w:val="24"/>
          <w:szCs w:val="24"/>
        </w:rPr>
        <w:lastRenderedPageBreak/>
        <w:t>Estados Unidos. H. Minsky (1986, 1992) identifica que la producción y la inversión dependen del financiamiento vía crédito en la economía capitalista los cuales fueron en gran medida afectados debido al efecto adverso sufrido por los agentes económicos (familias y corporaciones). A partir del análisis de Minsky se pueden identificar dos fenómenos interrelacionados: el comportamiento de los precios de las acciones y los de producción de los cuales se puede conocer la existencia de debilidad y posible fragilidad financiera en la economía que aumenta fruto de una persistente divergencia entre ambos precios en el tiempo (</w:t>
      </w:r>
      <w:proofErr w:type="spellStart"/>
      <w:r>
        <w:rPr>
          <w:rFonts w:ascii="Times New Roman" w:hAnsi="Times New Roman" w:cs="Times New Roman"/>
          <w:sz w:val="24"/>
          <w:szCs w:val="24"/>
        </w:rPr>
        <w:t>Nikiforos</w:t>
      </w:r>
      <w:proofErr w:type="spellEnd"/>
      <w:r>
        <w:rPr>
          <w:rFonts w:ascii="Times New Roman" w:hAnsi="Times New Roman" w:cs="Times New Roman"/>
          <w:sz w:val="24"/>
          <w:szCs w:val="24"/>
        </w:rPr>
        <w:t>, 2020).  La tendencia diferencial entre el precio de las acciones con respecto a los precios de producción se observa en Estados Unidos antes del impacto de la crisis del año pasado. En particular a partir del año 2010 muestra una combinación entre fuerte apalancamiento en el sector corporativo y la sobrevaluación en el mercado de valores.</w:t>
      </w:r>
    </w:p>
    <w:p w14:paraId="3698A557" w14:textId="3D31D4B4" w:rsidR="003B380F" w:rsidRPr="002D0632" w:rsidRDefault="00866E9F" w:rsidP="00866E9F">
      <w:pPr>
        <w:spacing w:after="0" w:line="360" w:lineRule="auto"/>
        <w:rPr>
          <w:rFonts w:ascii="Times New Roman" w:hAnsi="Times New Roman" w:cs="Times New Roman"/>
          <w:b/>
          <w:bCs/>
          <w:sz w:val="24"/>
          <w:szCs w:val="24"/>
        </w:rPr>
      </w:pPr>
      <w:r w:rsidRPr="002D0632">
        <w:rPr>
          <w:rFonts w:ascii="Times New Roman" w:hAnsi="Times New Roman" w:cs="Times New Roman"/>
          <w:b/>
          <w:bCs/>
          <w:sz w:val="24"/>
          <w:szCs w:val="24"/>
        </w:rPr>
        <w:t xml:space="preserve">3. Regla monetaria, deuda y </w:t>
      </w:r>
      <w:r w:rsidR="00390677" w:rsidRPr="002D0632">
        <w:rPr>
          <w:rFonts w:ascii="Times New Roman" w:hAnsi="Times New Roman" w:cs="Times New Roman"/>
          <w:b/>
          <w:bCs/>
          <w:sz w:val="24"/>
          <w:szCs w:val="24"/>
        </w:rPr>
        <w:t>dinámica</w:t>
      </w:r>
      <w:r w:rsidRPr="002D0632">
        <w:rPr>
          <w:rFonts w:ascii="Times New Roman" w:hAnsi="Times New Roman" w:cs="Times New Roman"/>
          <w:b/>
          <w:bCs/>
          <w:sz w:val="24"/>
          <w:szCs w:val="24"/>
        </w:rPr>
        <w:t xml:space="preserve"> bursátil</w:t>
      </w:r>
    </w:p>
    <w:p w14:paraId="03036E44" w14:textId="2FE34127" w:rsidR="00866E9F" w:rsidRPr="00CE6ED9" w:rsidRDefault="00866E9F" w:rsidP="00866E9F">
      <w:pPr>
        <w:spacing w:after="0" w:line="360" w:lineRule="auto"/>
        <w:rPr>
          <w:rFonts w:ascii="Times New Roman" w:hAnsi="Times New Roman" w:cs="Times New Roman"/>
          <w:b/>
          <w:bCs/>
          <w:sz w:val="24"/>
          <w:szCs w:val="24"/>
        </w:rPr>
      </w:pPr>
      <w:r w:rsidRPr="00CE6ED9">
        <w:rPr>
          <w:rFonts w:ascii="Times New Roman" w:hAnsi="Times New Roman" w:cs="Times New Roman"/>
          <w:b/>
          <w:bCs/>
          <w:sz w:val="24"/>
          <w:szCs w:val="24"/>
        </w:rPr>
        <w:t xml:space="preserve">3.1 </w:t>
      </w:r>
      <w:r w:rsidR="00427C3A" w:rsidRPr="00CE6ED9">
        <w:rPr>
          <w:rFonts w:ascii="Times New Roman" w:hAnsi="Times New Roman" w:cs="Times New Roman"/>
          <w:b/>
          <w:bCs/>
          <w:sz w:val="24"/>
          <w:szCs w:val="24"/>
        </w:rPr>
        <w:t>Dinámica</w:t>
      </w:r>
      <w:r w:rsidR="00390677" w:rsidRPr="00CE6ED9">
        <w:rPr>
          <w:rFonts w:ascii="Times New Roman" w:hAnsi="Times New Roman" w:cs="Times New Roman"/>
          <w:b/>
          <w:bCs/>
          <w:sz w:val="24"/>
          <w:szCs w:val="24"/>
        </w:rPr>
        <w:t xml:space="preserve"> macroeconómica</w:t>
      </w:r>
      <w:r w:rsidR="00427C3A" w:rsidRPr="00CE6ED9">
        <w:rPr>
          <w:rFonts w:ascii="Times New Roman" w:hAnsi="Times New Roman" w:cs="Times New Roman"/>
          <w:b/>
          <w:bCs/>
          <w:sz w:val="24"/>
          <w:szCs w:val="24"/>
        </w:rPr>
        <w:t>, monetaria y financiera</w:t>
      </w:r>
      <w:r w:rsidRPr="00CE6ED9">
        <w:rPr>
          <w:rFonts w:ascii="Times New Roman" w:hAnsi="Times New Roman" w:cs="Times New Roman"/>
          <w:b/>
          <w:bCs/>
          <w:sz w:val="24"/>
          <w:szCs w:val="24"/>
        </w:rPr>
        <w:t xml:space="preserve">: algunos hechos estilizados </w:t>
      </w:r>
    </w:p>
    <w:p w14:paraId="193A6BCC" w14:textId="70074BA0" w:rsidR="001F1555" w:rsidRDefault="001F1555" w:rsidP="001F15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 duda, la economía estadunidense constituye un</w:t>
      </w:r>
      <w:r w:rsidR="00D57727">
        <w:rPr>
          <w:rFonts w:ascii="Times New Roman" w:hAnsi="Times New Roman" w:cs="Times New Roman"/>
          <w:sz w:val="24"/>
          <w:szCs w:val="24"/>
        </w:rPr>
        <w:t xml:space="preserve"> </w:t>
      </w:r>
      <w:r>
        <w:rPr>
          <w:rFonts w:ascii="Times New Roman" w:hAnsi="Times New Roman" w:cs="Times New Roman"/>
          <w:sz w:val="24"/>
          <w:szCs w:val="24"/>
        </w:rPr>
        <w:t>par</w:t>
      </w:r>
      <w:r w:rsidR="00D57727">
        <w:rPr>
          <w:rFonts w:ascii="Times New Roman" w:hAnsi="Times New Roman" w:cs="Times New Roman"/>
          <w:sz w:val="24"/>
          <w:szCs w:val="24"/>
        </w:rPr>
        <w:t xml:space="preserve">teaguas </w:t>
      </w:r>
      <w:r>
        <w:rPr>
          <w:rFonts w:ascii="Times New Roman" w:hAnsi="Times New Roman" w:cs="Times New Roman"/>
          <w:sz w:val="24"/>
          <w:szCs w:val="24"/>
        </w:rPr>
        <w:t xml:space="preserve">en materia de </w:t>
      </w:r>
      <w:r w:rsidR="006300FE">
        <w:rPr>
          <w:rFonts w:ascii="Times New Roman" w:hAnsi="Times New Roman" w:cs="Times New Roman"/>
          <w:sz w:val="24"/>
          <w:szCs w:val="24"/>
        </w:rPr>
        <w:t xml:space="preserve">la conducción de la </w:t>
      </w:r>
      <w:r>
        <w:rPr>
          <w:rFonts w:ascii="Times New Roman" w:hAnsi="Times New Roman" w:cs="Times New Roman"/>
          <w:sz w:val="24"/>
          <w:szCs w:val="24"/>
        </w:rPr>
        <w:t xml:space="preserve">política económica, ya que </w:t>
      </w:r>
      <w:r w:rsidR="007B4B7A">
        <w:rPr>
          <w:rFonts w:ascii="Times New Roman" w:hAnsi="Times New Roman" w:cs="Times New Roman"/>
          <w:sz w:val="24"/>
          <w:szCs w:val="24"/>
        </w:rPr>
        <w:t xml:space="preserve">a </w:t>
      </w:r>
      <w:r>
        <w:rPr>
          <w:rFonts w:ascii="Times New Roman" w:hAnsi="Times New Roman" w:cs="Times New Roman"/>
          <w:sz w:val="24"/>
          <w:szCs w:val="24"/>
        </w:rPr>
        <w:t>contracorriente de los axiomas del Nuevo Consenso Macroeconómico</w:t>
      </w:r>
      <w:r w:rsidR="00B74E63">
        <w:rPr>
          <w:rFonts w:ascii="Times New Roman" w:hAnsi="Times New Roman" w:cs="Times New Roman"/>
          <w:sz w:val="24"/>
          <w:szCs w:val="24"/>
        </w:rPr>
        <w:t xml:space="preserve"> y a contrapelo de las medidas inducidas en el grueso de economías emergentes</w:t>
      </w:r>
      <w:r>
        <w:rPr>
          <w:rFonts w:ascii="Times New Roman" w:hAnsi="Times New Roman" w:cs="Times New Roman"/>
          <w:sz w:val="24"/>
          <w:szCs w:val="24"/>
        </w:rPr>
        <w:t xml:space="preserve">, el </w:t>
      </w:r>
      <w:r w:rsidR="00771BD2">
        <w:rPr>
          <w:rFonts w:ascii="Times New Roman" w:hAnsi="Times New Roman" w:cs="Times New Roman"/>
          <w:sz w:val="24"/>
          <w:szCs w:val="24"/>
        </w:rPr>
        <w:t xml:space="preserve">Departamento del Tesoro y </w:t>
      </w:r>
      <w:r>
        <w:rPr>
          <w:rFonts w:ascii="Times New Roman" w:hAnsi="Times New Roman" w:cs="Times New Roman"/>
          <w:sz w:val="24"/>
          <w:szCs w:val="24"/>
        </w:rPr>
        <w:t xml:space="preserve">Banco de la Reserva Federal </w:t>
      </w:r>
      <w:r w:rsidR="00CE40C1">
        <w:rPr>
          <w:rFonts w:ascii="Times New Roman" w:hAnsi="Times New Roman" w:cs="Times New Roman"/>
          <w:sz w:val="24"/>
          <w:szCs w:val="24"/>
        </w:rPr>
        <w:t>(F</w:t>
      </w:r>
      <w:r w:rsidR="009758E6">
        <w:rPr>
          <w:rFonts w:ascii="Times New Roman" w:hAnsi="Times New Roman" w:cs="Times New Roman"/>
          <w:sz w:val="24"/>
          <w:szCs w:val="24"/>
        </w:rPr>
        <w:t>ed</w:t>
      </w:r>
      <w:r w:rsidR="00CE40C1">
        <w:rPr>
          <w:rFonts w:ascii="Times New Roman" w:hAnsi="Times New Roman" w:cs="Times New Roman"/>
          <w:sz w:val="24"/>
          <w:szCs w:val="24"/>
        </w:rPr>
        <w:t xml:space="preserve">) </w:t>
      </w:r>
      <w:r w:rsidR="00D57727">
        <w:rPr>
          <w:rFonts w:ascii="Times New Roman" w:hAnsi="Times New Roman" w:cs="Times New Roman"/>
          <w:sz w:val="24"/>
          <w:szCs w:val="24"/>
        </w:rPr>
        <w:t xml:space="preserve">ha </w:t>
      </w:r>
      <w:r>
        <w:rPr>
          <w:rFonts w:ascii="Times New Roman" w:hAnsi="Times New Roman" w:cs="Times New Roman"/>
          <w:sz w:val="24"/>
          <w:szCs w:val="24"/>
        </w:rPr>
        <w:t>instrumenta</w:t>
      </w:r>
      <w:r w:rsidR="00D57727">
        <w:rPr>
          <w:rFonts w:ascii="Times New Roman" w:hAnsi="Times New Roman" w:cs="Times New Roman"/>
          <w:sz w:val="24"/>
          <w:szCs w:val="24"/>
        </w:rPr>
        <w:t>do</w:t>
      </w:r>
      <w:r>
        <w:rPr>
          <w:rFonts w:ascii="Times New Roman" w:hAnsi="Times New Roman" w:cs="Times New Roman"/>
          <w:sz w:val="24"/>
          <w:szCs w:val="24"/>
        </w:rPr>
        <w:t xml:space="preserve"> un amplio hilo de</w:t>
      </w:r>
      <w:r w:rsidR="00553F02">
        <w:rPr>
          <w:rFonts w:ascii="Times New Roman" w:hAnsi="Times New Roman" w:cs="Times New Roman"/>
          <w:sz w:val="24"/>
          <w:szCs w:val="24"/>
        </w:rPr>
        <w:t xml:space="preserve"> medidas de</w:t>
      </w:r>
      <w:r>
        <w:rPr>
          <w:rFonts w:ascii="Times New Roman" w:hAnsi="Times New Roman" w:cs="Times New Roman"/>
          <w:sz w:val="24"/>
          <w:szCs w:val="24"/>
        </w:rPr>
        <w:t xml:space="preserve"> </w:t>
      </w:r>
      <w:r w:rsidRPr="00232E98">
        <w:rPr>
          <w:rFonts w:ascii="Times New Roman" w:hAnsi="Times New Roman" w:cs="Times New Roman"/>
          <w:i/>
          <w:iCs/>
          <w:sz w:val="24"/>
          <w:szCs w:val="24"/>
        </w:rPr>
        <w:t>política no convencional</w:t>
      </w:r>
      <w:r>
        <w:rPr>
          <w:rFonts w:ascii="Times New Roman" w:hAnsi="Times New Roman" w:cs="Times New Roman"/>
          <w:sz w:val="24"/>
          <w:szCs w:val="24"/>
        </w:rPr>
        <w:t xml:space="preserve"> para amortiguar los efectos </w:t>
      </w:r>
      <w:r w:rsidR="00D57727">
        <w:rPr>
          <w:rFonts w:ascii="Times New Roman" w:hAnsi="Times New Roman" w:cs="Times New Roman"/>
          <w:sz w:val="24"/>
          <w:szCs w:val="24"/>
        </w:rPr>
        <w:t xml:space="preserve">negativos sobre la economía real y el sistema financiero </w:t>
      </w:r>
      <w:r w:rsidR="006300FE">
        <w:rPr>
          <w:rFonts w:ascii="Times New Roman" w:hAnsi="Times New Roman" w:cs="Times New Roman"/>
          <w:sz w:val="24"/>
          <w:szCs w:val="24"/>
        </w:rPr>
        <w:t>asociados con los</w:t>
      </w:r>
      <w:r>
        <w:rPr>
          <w:rFonts w:ascii="Times New Roman" w:hAnsi="Times New Roman" w:cs="Times New Roman"/>
          <w:sz w:val="24"/>
          <w:szCs w:val="24"/>
        </w:rPr>
        <w:t xml:space="preserve"> choques externos generados por las crisis</w:t>
      </w:r>
      <w:r w:rsidR="00D57727">
        <w:rPr>
          <w:rFonts w:ascii="Times New Roman" w:hAnsi="Times New Roman" w:cs="Times New Roman"/>
          <w:sz w:val="24"/>
          <w:szCs w:val="24"/>
        </w:rPr>
        <w:t xml:space="preserve"> </w:t>
      </w:r>
      <w:r w:rsidR="009E71E7">
        <w:rPr>
          <w:rFonts w:ascii="Times New Roman" w:hAnsi="Times New Roman" w:cs="Times New Roman"/>
          <w:sz w:val="24"/>
          <w:szCs w:val="24"/>
        </w:rPr>
        <w:t>dot.</w:t>
      </w:r>
      <w:r>
        <w:rPr>
          <w:rFonts w:ascii="Times New Roman" w:hAnsi="Times New Roman" w:cs="Times New Roman"/>
          <w:sz w:val="24"/>
          <w:szCs w:val="24"/>
        </w:rPr>
        <w:t xml:space="preserve">com  </w:t>
      </w:r>
      <w:r w:rsidR="009E71E7">
        <w:rPr>
          <w:rFonts w:ascii="Times New Roman" w:hAnsi="Times New Roman" w:cs="Times New Roman"/>
          <w:sz w:val="24"/>
          <w:szCs w:val="24"/>
        </w:rPr>
        <w:t>de</w:t>
      </w:r>
      <w:r>
        <w:rPr>
          <w:rFonts w:ascii="Times New Roman" w:hAnsi="Times New Roman" w:cs="Times New Roman"/>
          <w:sz w:val="24"/>
          <w:szCs w:val="24"/>
        </w:rPr>
        <w:t xml:space="preserve"> 2000/2001,  </w:t>
      </w:r>
      <w:proofErr w:type="spellStart"/>
      <w:r>
        <w:rPr>
          <w:rFonts w:ascii="Times New Roman" w:hAnsi="Times New Roman" w:cs="Times New Roman"/>
          <w:sz w:val="24"/>
          <w:szCs w:val="24"/>
        </w:rPr>
        <w:t>subprime</w:t>
      </w:r>
      <w:proofErr w:type="spellEnd"/>
      <w:r>
        <w:rPr>
          <w:rFonts w:ascii="Times New Roman" w:hAnsi="Times New Roman" w:cs="Times New Roman"/>
          <w:sz w:val="24"/>
          <w:szCs w:val="24"/>
        </w:rPr>
        <w:t xml:space="preserve"> </w:t>
      </w:r>
      <w:r w:rsidR="009E71E7">
        <w:rPr>
          <w:rFonts w:ascii="Times New Roman" w:hAnsi="Times New Roman" w:cs="Times New Roman"/>
          <w:sz w:val="24"/>
          <w:szCs w:val="24"/>
        </w:rPr>
        <w:t>de</w:t>
      </w:r>
      <w:r>
        <w:rPr>
          <w:rFonts w:ascii="Times New Roman" w:hAnsi="Times New Roman" w:cs="Times New Roman"/>
          <w:sz w:val="24"/>
          <w:szCs w:val="24"/>
        </w:rPr>
        <w:t xml:space="preserve"> 200</w:t>
      </w:r>
      <w:r w:rsidR="009E71E7">
        <w:rPr>
          <w:rFonts w:ascii="Times New Roman" w:hAnsi="Times New Roman" w:cs="Times New Roman"/>
          <w:sz w:val="24"/>
          <w:szCs w:val="24"/>
        </w:rPr>
        <w:t>7</w:t>
      </w:r>
      <w:r>
        <w:rPr>
          <w:rFonts w:ascii="Times New Roman" w:hAnsi="Times New Roman" w:cs="Times New Roman"/>
          <w:sz w:val="24"/>
          <w:szCs w:val="24"/>
        </w:rPr>
        <w:t>/200</w:t>
      </w:r>
      <w:r w:rsidR="009E71E7">
        <w:rPr>
          <w:rFonts w:ascii="Times New Roman" w:hAnsi="Times New Roman" w:cs="Times New Roman"/>
          <w:sz w:val="24"/>
          <w:szCs w:val="24"/>
        </w:rPr>
        <w:t>8</w:t>
      </w:r>
      <w:r>
        <w:rPr>
          <w:rFonts w:ascii="Times New Roman" w:hAnsi="Times New Roman" w:cs="Times New Roman"/>
          <w:sz w:val="24"/>
          <w:szCs w:val="24"/>
        </w:rPr>
        <w:t xml:space="preserve"> </w:t>
      </w:r>
      <w:r w:rsidR="00D57727">
        <w:rPr>
          <w:rFonts w:ascii="Times New Roman" w:hAnsi="Times New Roman" w:cs="Times New Roman"/>
          <w:sz w:val="24"/>
          <w:szCs w:val="24"/>
        </w:rPr>
        <w:t>y</w:t>
      </w:r>
      <w:r>
        <w:rPr>
          <w:rFonts w:ascii="Times New Roman" w:hAnsi="Times New Roman" w:cs="Times New Roman"/>
          <w:sz w:val="24"/>
          <w:szCs w:val="24"/>
        </w:rPr>
        <w:t xml:space="preserve"> </w:t>
      </w:r>
      <w:r w:rsidR="00D57727">
        <w:rPr>
          <w:rFonts w:ascii="Times New Roman" w:hAnsi="Times New Roman" w:cs="Times New Roman"/>
          <w:sz w:val="24"/>
          <w:szCs w:val="24"/>
        </w:rPr>
        <w:t xml:space="preserve">la </w:t>
      </w:r>
      <w:r w:rsidR="009E71E7">
        <w:rPr>
          <w:rFonts w:ascii="Times New Roman" w:hAnsi="Times New Roman" w:cs="Times New Roman"/>
          <w:sz w:val="24"/>
          <w:szCs w:val="24"/>
        </w:rPr>
        <w:t xml:space="preserve">inducida por la pandemia Covid-19 </w:t>
      </w:r>
      <w:r>
        <w:rPr>
          <w:rFonts w:ascii="Times New Roman" w:hAnsi="Times New Roman" w:cs="Times New Roman"/>
          <w:sz w:val="24"/>
          <w:szCs w:val="24"/>
        </w:rPr>
        <w:t>en 2020.</w:t>
      </w:r>
    </w:p>
    <w:p w14:paraId="39CE4FB0" w14:textId="468ADA48" w:rsidR="006300FE" w:rsidRDefault="00E66534" w:rsidP="009758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561734">
        <w:rPr>
          <w:rFonts w:ascii="Times New Roman" w:hAnsi="Times New Roman" w:cs="Times New Roman"/>
          <w:sz w:val="24"/>
          <w:szCs w:val="24"/>
        </w:rPr>
        <w:t>fectivamente</w:t>
      </w:r>
      <w:r>
        <w:rPr>
          <w:rFonts w:ascii="Times New Roman" w:hAnsi="Times New Roman" w:cs="Times New Roman"/>
          <w:sz w:val="24"/>
          <w:szCs w:val="24"/>
        </w:rPr>
        <w:t xml:space="preserve">, la </w:t>
      </w:r>
      <w:r w:rsidRPr="00B74E63">
        <w:rPr>
          <w:rFonts w:ascii="Times New Roman" w:hAnsi="Times New Roman" w:cs="Times New Roman"/>
          <w:sz w:val="24"/>
          <w:szCs w:val="24"/>
        </w:rPr>
        <w:t>expansión monetaria</w:t>
      </w:r>
      <w:r>
        <w:rPr>
          <w:rFonts w:ascii="Times New Roman" w:hAnsi="Times New Roman" w:cs="Times New Roman"/>
          <w:sz w:val="24"/>
          <w:szCs w:val="24"/>
        </w:rPr>
        <w:t xml:space="preserve"> (reservas bancarias)</w:t>
      </w:r>
      <w:r w:rsidR="00342873">
        <w:rPr>
          <w:rFonts w:ascii="Times New Roman" w:hAnsi="Times New Roman" w:cs="Times New Roman"/>
          <w:sz w:val="24"/>
          <w:szCs w:val="24"/>
        </w:rPr>
        <w:t xml:space="preserve"> constituye el mecanismo operativo del proceso de relajación cuantitativa (</w:t>
      </w:r>
      <w:proofErr w:type="spellStart"/>
      <w:r w:rsidR="00342873" w:rsidRPr="00CE40C1">
        <w:rPr>
          <w:rFonts w:ascii="Times New Roman" w:hAnsi="Times New Roman" w:cs="Times New Roman"/>
          <w:sz w:val="24"/>
          <w:szCs w:val="24"/>
        </w:rPr>
        <w:t>Quantitative</w:t>
      </w:r>
      <w:proofErr w:type="spellEnd"/>
      <w:r w:rsidR="00342873" w:rsidRPr="00CE40C1">
        <w:rPr>
          <w:rFonts w:ascii="Times New Roman" w:hAnsi="Times New Roman" w:cs="Times New Roman"/>
          <w:sz w:val="24"/>
          <w:szCs w:val="24"/>
        </w:rPr>
        <w:t xml:space="preserve"> </w:t>
      </w:r>
      <w:proofErr w:type="spellStart"/>
      <w:r w:rsidR="00342873" w:rsidRPr="00CE40C1">
        <w:rPr>
          <w:rFonts w:ascii="Times New Roman" w:hAnsi="Times New Roman" w:cs="Times New Roman"/>
          <w:sz w:val="24"/>
          <w:szCs w:val="24"/>
        </w:rPr>
        <w:t>Easing</w:t>
      </w:r>
      <w:proofErr w:type="spellEnd"/>
      <w:r w:rsidR="00342873">
        <w:rPr>
          <w:rFonts w:ascii="Times New Roman" w:hAnsi="Times New Roman" w:cs="Times New Roman"/>
          <w:sz w:val="24"/>
          <w:szCs w:val="24"/>
        </w:rPr>
        <w:t xml:space="preserve">), mediante </w:t>
      </w:r>
      <w:r w:rsidR="00CE40C1">
        <w:rPr>
          <w:rFonts w:ascii="Times New Roman" w:hAnsi="Times New Roman" w:cs="Times New Roman"/>
          <w:sz w:val="24"/>
          <w:szCs w:val="24"/>
        </w:rPr>
        <w:t xml:space="preserve">la compra de </w:t>
      </w:r>
      <w:r w:rsidR="00303941">
        <w:rPr>
          <w:rFonts w:ascii="Times New Roman" w:hAnsi="Times New Roman" w:cs="Times New Roman"/>
          <w:sz w:val="24"/>
          <w:szCs w:val="24"/>
        </w:rPr>
        <w:t xml:space="preserve">títulos de </w:t>
      </w:r>
      <w:r w:rsidR="00CE40C1">
        <w:rPr>
          <w:rFonts w:ascii="Times New Roman" w:hAnsi="Times New Roman" w:cs="Times New Roman"/>
          <w:sz w:val="24"/>
          <w:szCs w:val="24"/>
        </w:rPr>
        <w:t>deuda</w:t>
      </w:r>
      <w:r w:rsidR="00342873">
        <w:rPr>
          <w:rFonts w:ascii="Times New Roman" w:hAnsi="Times New Roman" w:cs="Times New Roman"/>
          <w:sz w:val="24"/>
          <w:szCs w:val="24"/>
        </w:rPr>
        <w:t xml:space="preserve"> y </w:t>
      </w:r>
      <w:r w:rsidR="00CE40C1">
        <w:rPr>
          <w:rFonts w:ascii="Times New Roman" w:hAnsi="Times New Roman" w:cs="Times New Roman"/>
          <w:sz w:val="24"/>
          <w:szCs w:val="24"/>
        </w:rPr>
        <w:t>bonos privados</w:t>
      </w:r>
      <w:r w:rsidR="00303941">
        <w:rPr>
          <w:rFonts w:ascii="Times New Roman" w:hAnsi="Times New Roman" w:cs="Times New Roman"/>
          <w:sz w:val="24"/>
          <w:szCs w:val="24"/>
        </w:rPr>
        <w:t xml:space="preserve"> </w:t>
      </w:r>
      <w:r w:rsidR="00342873">
        <w:rPr>
          <w:rFonts w:ascii="Times New Roman" w:hAnsi="Times New Roman" w:cs="Times New Roman"/>
          <w:sz w:val="24"/>
          <w:szCs w:val="24"/>
        </w:rPr>
        <w:t>(</w:t>
      </w:r>
      <w:r w:rsidR="006300FE">
        <w:rPr>
          <w:rFonts w:ascii="Times New Roman" w:hAnsi="Times New Roman" w:cs="Times New Roman"/>
          <w:sz w:val="24"/>
          <w:szCs w:val="24"/>
        </w:rPr>
        <w:t xml:space="preserve">respaldados por </w:t>
      </w:r>
      <w:r w:rsidR="00303941">
        <w:rPr>
          <w:rFonts w:ascii="Times New Roman" w:hAnsi="Times New Roman" w:cs="Times New Roman"/>
          <w:sz w:val="24"/>
          <w:szCs w:val="24"/>
        </w:rPr>
        <w:t>hipotecas)</w:t>
      </w:r>
      <w:r w:rsidR="00342873">
        <w:rPr>
          <w:rFonts w:ascii="Times New Roman" w:hAnsi="Times New Roman" w:cs="Times New Roman"/>
          <w:sz w:val="24"/>
          <w:szCs w:val="24"/>
        </w:rPr>
        <w:t xml:space="preserve">, así como por la permuta en operaciones de mercado abierto de deuda de corto </w:t>
      </w:r>
      <w:r w:rsidR="009E71E7">
        <w:rPr>
          <w:rFonts w:ascii="Times New Roman" w:hAnsi="Times New Roman" w:cs="Times New Roman"/>
          <w:sz w:val="24"/>
          <w:szCs w:val="24"/>
        </w:rPr>
        <w:t xml:space="preserve">plazo </w:t>
      </w:r>
      <w:r w:rsidR="00342873">
        <w:rPr>
          <w:rFonts w:ascii="Times New Roman" w:hAnsi="Times New Roman" w:cs="Times New Roman"/>
          <w:sz w:val="24"/>
          <w:szCs w:val="24"/>
        </w:rPr>
        <w:t>por pasivos de largo plazo</w:t>
      </w:r>
      <w:r w:rsidR="006300FE">
        <w:rPr>
          <w:rFonts w:ascii="Times New Roman" w:hAnsi="Times New Roman" w:cs="Times New Roman"/>
          <w:sz w:val="24"/>
          <w:szCs w:val="24"/>
        </w:rPr>
        <w:t xml:space="preserve">. Los principales objetivos de esta </w:t>
      </w:r>
      <w:r w:rsidR="009E71E7">
        <w:rPr>
          <w:rFonts w:ascii="Times New Roman" w:hAnsi="Times New Roman" w:cs="Times New Roman"/>
          <w:sz w:val="24"/>
          <w:szCs w:val="24"/>
        </w:rPr>
        <w:t>pol</w:t>
      </w:r>
      <w:r w:rsidR="006300FE">
        <w:rPr>
          <w:rFonts w:ascii="Times New Roman" w:hAnsi="Times New Roman" w:cs="Times New Roman"/>
          <w:sz w:val="24"/>
          <w:szCs w:val="24"/>
        </w:rPr>
        <w:t>ítica</w:t>
      </w:r>
      <w:r w:rsidR="00553F02">
        <w:rPr>
          <w:rFonts w:ascii="Times New Roman" w:hAnsi="Times New Roman" w:cs="Times New Roman"/>
          <w:sz w:val="24"/>
          <w:szCs w:val="24"/>
        </w:rPr>
        <w:t>, entre otros,</w:t>
      </w:r>
      <w:r w:rsidR="006300FE">
        <w:rPr>
          <w:rFonts w:ascii="Times New Roman" w:hAnsi="Times New Roman" w:cs="Times New Roman"/>
          <w:sz w:val="24"/>
          <w:szCs w:val="24"/>
        </w:rPr>
        <w:t xml:space="preserve"> serían: </w:t>
      </w:r>
      <w:r w:rsidR="00342873">
        <w:rPr>
          <w:rFonts w:ascii="Times New Roman" w:hAnsi="Times New Roman" w:cs="Times New Roman"/>
          <w:sz w:val="24"/>
          <w:szCs w:val="24"/>
        </w:rPr>
        <w:t>garantizar la liquidez de la economía</w:t>
      </w:r>
      <w:r w:rsidR="006300FE">
        <w:rPr>
          <w:rFonts w:ascii="Times New Roman" w:hAnsi="Times New Roman" w:cs="Times New Roman"/>
          <w:sz w:val="24"/>
          <w:szCs w:val="24"/>
        </w:rPr>
        <w:t xml:space="preserve"> para impulsar el consumo</w:t>
      </w:r>
      <w:r w:rsidR="00342873">
        <w:rPr>
          <w:rFonts w:ascii="Times New Roman" w:hAnsi="Times New Roman" w:cs="Times New Roman"/>
          <w:sz w:val="24"/>
          <w:szCs w:val="24"/>
        </w:rPr>
        <w:t>,</w:t>
      </w:r>
      <w:r w:rsidR="006300FE">
        <w:rPr>
          <w:rFonts w:ascii="Times New Roman" w:hAnsi="Times New Roman" w:cs="Times New Roman"/>
          <w:sz w:val="24"/>
          <w:szCs w:val="24"/>
        </w:rPr>
        <w:t xml:space="preserve"> la inversión y la expansión del producto; </w:t>
      </w:r>
      <w:r w:rsidR="0092161D">
        <w:rPr>
          <w:rFonts w:ascii="Times New Roman" w:hAnsi="Times New Roman" w:cs="Times New Roman"/>
          <w:sz w:val="24"/>
          <w:szCs w:val="24"/>
        </w:rPr>
        <w:t xml:space="preserve">ajustar </w:t>
      </w:r>
      <w:r w:rsidR="00342873">
        <w:rPr>
          <w:rFonts w:ascii="Times New Roman" w:hAnsi="Times New Roman" w:cs="Times New Roman"/>
          <w:sz w:val="24"/>
          <w:szCs w:val="24"/>
        </w:rPr>
        <w:t>las tasas de interés de largo plazo</w:t>
      </w:r>
      <w:r w:rsidR="006300FE">
        <w:rPr>
          <w:rFonts w:ascii="Times New Roman" w:hAnsi="Times New Roman" w:cs="Times New Roman"/>
          <w:sz w:val="24"/>
          <w:szCs w:val="24"/>
        </w:rPr>
        <w:t xml:space="preserve">, asegurar la </w:t>
      </w:r>
      <w:r w:rsidR="006300FE" w:rsidRPr="00342873">
        <w:rPr>
          <w:rFonts w:ascii="Times New Roman" w:hAnsi="Times New Roman" w:cs="Times New Roman"/>
          <w:sz w:val="24"/>
          <w:szCs w:val="24"/>
        </w:rPr>
        <w:t>estabilidad</w:t>
      </w:r>
      <w:r w:rsidR="006300FE">
        <w:rPr>
          <w:rFonts w:ascii="Times New Roman" w:hAnsi="Times New Roman" w:cs="Times New Roman"/>
          <w:sz w:val="24"/>
          <w:szCs w:val="24"/>
        </w:rPr>
        <w:t xml:space="preserve"> inflacionaria y financiera (</w:t>
      </w:r>
      <w:proofErr w:type="spellStart"/>
      <w:r w:rsidR="006300FE">
        <w:rPr>
          <w:rFonts w:ascii="Times New Roman" w:hAnsi="Times New Roman" w:cs="Times New Roman"/>
          <w:sz w:val="24"/>
          <w:szCs w:val="24"/>
        </w:rPr>
        <w:t>Perrotini</w:t>
      </w:r>
      <w:proofErr w:type="spellEnd"/>
      <w:r w:rsidR="006300FE">
        <w:rPr>
          <w:rFonts w:ascii="Times New Roman" w:hAnsi="Times New Roman" w:cs="Times New Roman"/>
          <w:sz w:val="24"/>
          <w:szCs w:val="24"/>
        </w:rPr>
        <w:t>, 2015)</w:t>
      </w:r>
      <w:r w:rsidR="0092161D">
        <w:rPr>
          <w:rFonts w:ascii="Times New Roman" w:hAnsi="Times New Roman" w:cs="Times New Roman"/>
          <w:sz w:val="24"/>
          <w:szCs w:val="24"/>
        </w:rPr>
        <w:t>.</w:t>
      </w:r>
    </w:p>
    <w:p w14:paraId="5BD124A5" w14:textId="50F52C1B" w:rsidR="00AD7A9B" w:rsidRDefault="00561734" w:rsidP="009E71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praxis los resultados</w:t>
      </w:r>
      <w:r w:rsidR="00232E98">
        <w:rPr>
          <w:rFonts w:ascii="Times New Roman" w:hAnsi="Times New Roman" w:cs="Times New Roman"/>
          <w:sz w:val="24"/>
          <w:szCs w:val="24"/>
        </w:rPr>
        <w:t xml:space="preserve"> </w:t>
      </w:r>
      <w:r w:rsidR="002D6D0C">
        <w:rPr>
          <w:rFonts w:ascii="Times New Roman" w:hAnsi="Times New Roman" w:cs="Times New Roman"/>
          <w:sz w:val="24"/>
          <w:szCs w:val="24"/>
        </w:rPr>
        <w:t xml:space="preserve">parecen </w:t>
      </w:r>
      <w:r w:rsidR="00232E98">
        <w:rPr>
          <w:rFonts w:ascii="Times New Roman" w:hAnsi="Times New Roman" w:cs="Times New Roman"/>
          <w:sz w:val="24"/>
          <w:szCs w:val="24"/>
        </w:rPr>
        <w:t>disimiles de los objetivos esperados con la operación de la política monetaria no convencional.</w:t>
      </w:r>
      <w:r w:rsidR="00553F02">
        <w:rPr>
          <w:rFonts w:ascii="Times New Roman" w:hAnsi="Times New Roman" w:cs="Times New Roman"/>
          <w:sz w:val="24"/>
          <w:szCs w:val="24"/>
        </w:rPr>
        <w:t xml:space="preserve"> En </w:t>
      </w:r>
      <w:r w:rsidR="002D6D0C">
        <w:rPr>
          <w:rFonts w:ascii="Times New Roman" w:hAnsi="Times New Roman" w:cs="Times New Roman"/>
          <w:sz w:val="24"/>
          <w:szCs w:val="24"/>
        </w:rPr>
        <w:t xml:space="preserve">materia de la actividad </w:t>
      </w:r>
      <w:r w:rsidR="00553F02">
        <w:rPr>
          <w:rFonts w:ascii="Times New Roman" w:hAnsi="Times New Roman" w:cs="Times New Roman"/>
          <w:sz w:val="24"/>
          <w:szCs w:val="24"/>
        </w:rPr>
        <w:t xml:space="preserve">económica, </w:t>
      </w:r>
      <w:r w:rsidR="00DC0F6C">
        <w:rPr>
          <w:rFonts w:ascii="Times New Roman" w:hAnsi="Times New Roman" w:cs="Times New Roman"/>
          <w:sz w:val="24"/>
          <w:szCs w:val="24"/>
        </w:rPr>
        <w:t xml:space="preserve">el proceso de convergencia </w:t>
      </w:r>
      <w:r w:rsidR="00553F02">
        <w:rPr>
          <w:rFonts w:ascii="Times New Roman" w:hAnsi="Times New Roman" w:cs="Times New Roman"/>
          <w:sz w:val="24"/>
          <w:szCs w:val="24"/>
        </w:rPr>
        <w:t>del Producto Interno Bruto (PIB)</w:t>
      </w:r>
      <w:r w:rsidR="00DC0F6C">
        <w:rPr>
          <w:rFonts w:ascii="Times New Roman" w:hAnsi="Times New Roman" w:cs="Times New Roman"/>
          <w:sz w:val="24"/>
          <w:szCs w:val="24"/>
        </w:rPr>
        <w:t xml:space="preserve"> a su senda de equilibrio</w:t>
      </w:r>
      <w:r w:rsidR="00553F02">
        <w:rPr>
          <w:rFonts w:ascii="Times New Roman" w:hAnsi="Times New Roman" w:cs="Times New Roman"/>
          <w:sz w:val="24"/>
          <w:szCs w:val="24"/>
        </w:rPr>
        <w:t xml:space="preserve"> </w:t>
      </w:r>
      <w:r w:rsidR="00DC0F6C">
        <w:rPr>
          <w:rFonts w:ascii="Times New Roman" w:hAnsi="Times New Roman" w:cs="Times New Roman"/>
          <w:sz w:val="24"/>
          <w:szCs w:val="24"/>
        </w:rPr>
        <w:t xml:space="preserve">ha sido </w:t>
      </w:r>
      <w:r w:rsidR="00DC0F6C">
        <w:rPr>
          <w:rFonts w:ascii="Times New Roman" w:hAnsi="Times New Roman" w:cs="Times New Roman"/>
          <w:sz w:val="24"/>
          <w:szCs w:val="24"/>
        </w:rPr>
        <w:lastRenderedPageBreak/>
        <w:t xml:space="preserve">nítidamente </w:t>
      </w:r>
      <w:r w:rsidR="006F29B3">
        <w:rPr>
          <w:rFonts w:ascii="Times New Roman" w:hAnsi="Times New Roman" w:cs="Times New Roman"/>
          <w:sz w:val="24"/>
          <w:szCs w:val="24"/>
        </w:rPr>
        <w:t>lento</w:t>
      </w:r>
      <w:r w:rsidR="00DC0F6C">
        <w:rPr>
          <w:rFonts w:ascii="Times New Roman" w:hAnsi="Times New Roman" w:cs="Times New Roman"/>
          <w:sz w:val="24"/>
          <w:szCs w:val="24"/>
        </w:rPr>
        <w:t xml:space="preserve">; lo cual ha colocado la media de crecimiento </w:t>
      </w:r>
      <w:r w:rsidR="00382112">
        <w:rPr>
          <w:rFonts w:ascii="Times New Roman" w:hAnsi="Times New Roman" w:cs="Times New Roman"/>
          <w:sz w:val="24"/>
          <w:szCs w:val="24"/>
        </w:rPr>
        <w:t>por debajo</w:t>
      </w:r>
      <w:r w:rsidR="00DC0F6C">
        <w:rPr>
          <w:rFonts w:ascii="Times New Roman" w:hAnsi="Times New Roman" w:cs="Times New Roman"/>
          <w:sz w:val="24"/>
          <w:szCs w:val="24"/>
        </w:rPr>
        <w:t xml:space="preserve"> del</w:t>
      </w:r>
      <w:r w:rsidR="00553F02">
        <w:rPr>
          <w:rFonts w:ascii="Times New Roman" w:hAnsi="Times New Roman" w:cs="Times New Roman"/>
          <w:sz w:val="24"/>
          <w:szCs w:val="24"/>
        </w:rPr>
        <w:t xml:space="preserve"> ritmo </w:t>
      </w:r>
      <w:r w:rsidR="00DC0F6C">
        <w:rPr>
          <w:rFonts w:ascii="Times New Roman" w:hAnsi="Times New Roman" w:cs="Times New Roman"/>
          <w:sz w:val="24"/>
          <w:szCs w:val="24"/>
        </w:rPr>
        <w:t xml:space="preserve">promedio </w:t>
      </w:r>
      <w:r w:rsidR="00553F02">
        <w:rPr>
          <w:rFonts w:ascii="Times New Roman" w:hAnsi="Times New Roman" w:cs="Times New Roman"/>
          <w:sz w:val="24"/>
          <w:szCs w:val="24"/>
        </w:rPr>
        <w:t>observado durante la década de los noventa</w:t>
      </w:r>
      <w:r w:rsidR="009E71E7">
        <w:rPr>
          <w:rFonts w:ascii="Times New Roman" w:hAnsi="Times New Roman" w:cs="Times New Roman"/>
          <w:sz w:val="24"/>
          <w:szCs w:val="24"/>
        </w:rPr>
        <w:t xml:space="preserve"> (</w:t>
      </w:r>
      <w:r w:rsidR="006F29B3">
        <w:rPr>
          <w:rFonts w:ascii="Times New Roman" w:hAnsi="Times New Roman" w:cs="Times New Roman"/>
          <w:sz w:val="24"/>
          <w:szCs w:val="24"/>
        </w:rPr>
        <w:t>véase cuadro 1</w:t>
      </w:r>
      <w:r w:rsidR="009E71E7">
        <w:rPr>
          <w:rFonts w:ascii="Times New Roman" w:hAnsi="Times New Roman" w:cs="Times New Roman"/>
          <w:sz w:val="24"/>
          <w:szCs w:val="24"/>
        </w:rPr>
        <w:t>)</w:t>
      </w:r>
      <w:r w:rsidR="00553F02">
        <w:rPr>
          <w:rFonts w:ascii="Times New Roman" w:hAnsi="Times New Roman" w:cs="Times New Roman"/>
          <w:sz w:val="24"/>
          <w:szCs w:val="24"/>
        </w:rPr>
        <w:t>.</w:t>
      </w:r>
      <w:r w:rsidR="00AD7A9B">
        <w:rPr>
          <w:rFonts w:ascii="Times New Roman" w:hAnsi="Times New Roman" w:cs="Times New Roman"/>
          <w:sz w:val="24"/>
          <w:szCs w:val="24"/>
        </w:rPr>
        <w:t xml:space="preserve"> </w:t>
      </w:r>
      <w:r w:rsidR="00DC0F6C">
        <w:rPr>
          <w:rFonts w:ascii="Times New Roman" w:hAnsi="Times New Roman" w:cs="Times New Roman"/>
          <w:sz w:val="24"/>
          <w:szCs w:val="24"/>
        </w:rPr>
        <w:t>E</w:t>
      </w:r>
      <w:r w:rsidR="002D6D0C">
        <w:rPr>
          <w:rFonts w:ascii="Times New Roman" w:hAnsi="Times New Roman" w:cs="Times New Roman"/>
          <w:sz w:val="24"/>
          <w:szCs w:val="24"/>
        </w:rPr>
        <w:t>n e</w:t>
      </w:r>
      <w:r w:rsidR="00DC0F6C">
        <w:rPr>
          <w:rFonts w:ascii="Times New Roman" w:hAnsi="Times New Roman" w:cs="Times New Roman"/>
          <w:sz w:val="24"/>
          <w:szCs w:val="24"/>
        </w:rPr>
        <w:t xml:space="preserve">ste contexto, </w:t>
      </w:r>
      <w:r w:rsidR="00382112">
        <w:rPr>
          <w:rFonts w:ascii="Times New Roman" w:hAnsi="Times New Roman" w:cs="Times New Roman"/>
          <w:sz w:val="24"/>
          <w:szCs w:val="24"/>
        </w:rPr>
        <w:t xml:space="preserve">la inyección de liquidez parece </w:t>
      </w:r>
      <w:r w:rsidR="00AD7A9B">
        <w:rPr>
          <w:rFonts w:ascii="Times New Roman" w:hAnsi="Times New Roman" w:cs="Times New Roman"/>
          <w:sz w:val="24"/>
          <w:szCs w:val="24"/>
        </w:rPr>
        <w:t>exhib</w:t>
      </w:r>
      <w:r w:rsidR="00382112">
        <w:rPr>
          <w:rFonts w:ascii="Times New Roman" w:hAnsi="Times New Roman" w:cs="Times New Roman"/>
          <w:sz w:val="24"/>
          <w:szCs w:val="24"/>
        </w:rPr>
        <w:t>ir un</w:t>
      </w:r>
      <w:r w:rsidR="00AD7A9B">
        <w:rPr>
          <w:rFonts w:ascii="Times New Roman" w:hAnsi="Times New Roman" w:cs="Times New Roman"/>
          <w:sz w:val="24"/>
          <w:szCs w:val="24"/>
        </w:rPr>
        <w:t xml:space="preserve">a capacidad marginal para propulsar significativamente la </w:t>
      </w:r>
      <w:r w:rsidR="00382112">
        <w:rPr>
          <w:rFonts w:ascii="Times New Roman" w:hAnsi="Times New Roman" w:cs="Times New Roman"/>
          <w:sz w:val="24"/>
          <w:szCs w:val="24"/>
        </w:rPr>
        <w:t xml:space="preserve">demanda agregada (consumo e inversión) y, con ello, la </w:t>
      </w:r>
      <w:r w:rsidR="00AD7A9B">
        <w:rPr>
          <w:rFonts w:ascii="Times New Roman" w:hAnsi="Times New Roman" w:cs="Times New Roman"/>
          <w:sz w:val="24"/>
          <w:szCs w:val="24"/>
        </w:rPr>
        <w:t xml:space="preserve">recuperación </w:t>
      </w:r>
      <w:r w:rsidR="00DC0F6C">
        <w:rPr>
          <w:rFonts w:ascii="Times New Roman" w:hAnsi="Times New Roman" w:cs="Times New Roman"/>
          <w:sz w:val="24"/>
          <w:szCs w:val="24"/>
        </w:rPr>
        <w:t xml:space="preserve">de la </w:t>
      </w:r>
      <w:r w:rsidR="00382112">
        <w:rPr>
          <w:rFonts w:ascii="Times New Roman" w:hAnsi="Times New Roman" w:cs="Times New Roman"/>
          <w:sz w:val="24"/>
          <w:szCs w:val="24"/>
        </w:rPr>
        <w:t xml:space="preserve">producción. </w:t>
      </w:r>
      <w:r w:rsidR="00DC0F6C">
        <w:rPr>
          <w:rFonts w:ascii="Times New Roman" w:hAnsi="Times New Roman" w:cs="Times New Roman"/>
          <w:sz w:val="24"/>
          <w:szCs w:val="24"/>
        </w:rPr>
        <w:t xml:space="preserve"> </w:t>
      </w:r>
      <w:r w:rsidR="00AD7A9B">
        <w:rPr>
          <w:rFonts w:ascii="Times New Roman" w:hAnsi="Times New Roman" w:cs="Times New Roman"/>
          <w:sz w:val="24"/>
          <w:szCs w:val="24"/>
        </w:rPr>
        <w:t xml:space="preserve">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247"/>
        <w:gridCol w:w="1247"/>
        <w:gridCol w:w="1247"/>
      </w:tblGrid>
      <w:tr w:rsidR="001D36DA" w14:paraId="18ECE41B" w14:textId="4BCC7814" w:rsidTr="00446692">
        <w:trPr>
          <w:jc w:val="center"/>
        </w:trPr>
        <w:tc>
          <w:tcPr>
            <w:tcW w:w="6292" w:type="dxa"/>
            <w:gridSpan w:val="4"/>
            <w:tcBorders>
              <w:bottom w:val="single" w:sz="4" w:space="0" w:color="auto"/>
            </w:tcBorders>
          </w:tcPr>
          <w:p w14:paraId="02FA1FB9" w14:textId="77777777" w:rsidR="00F9083E" w:rsidRDefault="00F9083E" w:rsidP="00F9083E">
            <w:pPr>
              <w:rPr>
                <w:rFonts w:ascii="Times New Roman" w:hAnsi="Times New Roman" w:cs="Times New Roman"/>
                <w:b/>
                <w:bCs/>
                <w:sz w:val="24"/>
                <w:szCs w:val="24"/>
              </w:rPr>
            </w:pPr>
            <w:r>
              <w:rPr>
                <w:rFonts w:ascii="Times New Roman" w:hAnsi="Times New Roman" w:cs="Times New Roman"/>
                <w:b/>
                <w:bCs/>
                <w:sz w:val="24"/>
                <w:szCs w:val="24"/>
              </w:rPr>
              <w:t xml:space="preserve">Tabla </w:t>
            </w:r>
            <w:r w:rsidR="001D36DA" w:rsidRPr="00F9083E">
              <w:rPr>
                <w:rFonts w:ascii="Times New Roman" w:hAnsi="Times New Roman" w:cs="Times New Roman"/>
                <w:b/>
                <w:bCs/>
                <w:sz w:val="24"/>
                <w:szCs w:val="24"/>
              </w:rPr>
              <w:t>1</w:t>
            </w:r>
          </w:p>
          <w:p w14:paraId="4EF30DF6" w14:textId="509F9BC0" w:rsidR="001D36DA" w:rsidRPr="00F9083E" w:rsidRDefault="001D36DA" w:rsidP="00F9083E">
            <w:pPr>
              <w:rPr>
                <w:rFonts w:ascii="Times New Roman" w:hAnsi="Times New Roman" w:cs="Times New Roman"/>
                <w:b/>
                <w:bCs/>
                <w:sz w:val="24"/>
                <w:szCs w:val="24"/>
              </w:rPr>
            </w:pPr>
            <w:r w:rsidRPr="00F9083E">
              <w:rPr>
                <w:rFonts w:ascii="Times New Roman" w:hAnsi="Times New Roman" w:cs="Times New Roman"/>
                <w:b/>
                <w:bCs/>
                <w:sz w:val="24"/>
                <w:szCs w:val="24"/>
              </w:rPr>
              <w:t xml:space="preserve">EU: Funcionamiento económico y financiero </w:t>
            </w:r>
          </w:p>
        </w:tc>
      </w:tr>
      <w:tr w:rsidR="00A444F0" w14:paraId="2E8800D1" w14:textId="4B238F42" w:rsidTr="008F589A">
        <w:trPr>
          <w:jc w:val="center"/>
        </w:trPr>
        <w:tc>
          <w:tcPr>
            <w:tcW w:w="2551" w:type="dxa"/>
            <w:tcBorders>
              <w:top w:val="single" w:sz="4" w:space="0" w:color="auto"/>
              <w:bottom w:val="single" w:sz="4" w:space="0" w:color="auto"/>
            </w:tcBorders>
          </w:tcPr>
          <w:p w14:paraId="18B38E88" w14:textId="383CC9E7" w:rsidR="00A444F0" w:rsidRPr="008F589A" w:rsidRDefault="00A444F0" w:rsidP="00390677">
            <w:pPr>
              <w:spacing w:before="40" w:after="40"/>
              <w:jc w:val="center"/>
              <w:rPr>
                <w:rFonts w:ascii="Times New Roman" w:hAnsi="Times New Roman" w:cs="Times New Roman"/>
                <w:sz w:val="20"/>
                <w:szCs w:val="20"/>
              </w:rPr>
            </w:pPr>
            <w:r w:rsidRPr="008F589A">
              <w:rPr>
                <w:rFonts w:ascii="Times New Roman" w:hAnsi="Times New Roman" w:cs="Times New Roman"/>
                <w:sz w:val="20"/>
                <w:szCs w:val="20"/>
              </w:rPr>
              <w:t>Indicador</w:t>
            </w:r>
          </w:p>
        </w:tc>
        <w:tc>
          <w:tcPr>
            <w:tcW w:w="1247" w:type="dxa"/>
            <w:tcBorders>
              <w:top w:val="single" w:sz="4" w:space="0" w:color="auto"/>
              <w:bottom w:val="single" w:sz="4" w:space="0" w:color="auto"/>
            </w:tcBorders>
            <w:vAlign w:val="center"/>
          </w:tcPr>
          <w:p w14:paraId="45E192F0" w14:textId="39D8C5C0" w:rsidR="00A444F0" w:rsidRPr="008F589A" w:rsidRDefault="00A444F0" w:rsidP="002D1F70">
            <w:pPr>
              <w:jc w:val="center"/>
              <w:rPr>
                <w:rFonts w:ascii="Times New Roman" w:hAnsi="Times New Roman" w:cs="Times New Roman"/>
                <w:sz w:val="20"/>
                <w:szCs w:val="20"/>
              </w:rPr>
            </w:pPr>
            <w:r w:rsidRPr="008F589A">
              <w:rPr>
                <w:rFonts w:ascii="Times New Roman" w:hAnsi="Times New Roman" w:cs="Times New Roman"/>
                <w:sz w:val="20"/>
                <w:szCs w:val="20"/>
              </w:rPr>
              <w:t>1990-2000</w:t>
            </w:r>
          </w:p>
        </w:tc>
        <w:tc>
          <w:tcPr>
            <w:tcW w:w="1247" w:type="dxa"/>
            <w:tcBorders>
              <w:top w:val="single" w:sz="4" w:space="0" w:color="auto"/>
              <w:bottom w:val="single" w:sz="4" w:space="0" w:color="auto"/>
            </w:tcBorders>
            <w:vAlign w:val="center"/>
          </w:tcPr>
          <w:p w14:paraId="79CED94D" w14:textId="51468A38" w:rsidR="00A444F0" w:rsidRPr="008F589A" w:rsidRDefault="00A444F0" w:rsidP="002D1F70">
            <w:pPr>
              <w:jc w:val="center"/>
              <w:rPr>
                <w:rFonts w:ascii="Times New Roman" w:hAnsi="Times New Roman" w:cs="Times New Roman"/>
                <w:sz w:val="20"/>
                <w:szCs w:val="20"/>
              </w:rPr>
            </w:pPr>
            <w:r w:rsidRPr="008F589A">
              <w:rPr>
                <w:rFonts w:ascii="Times New Roman" w:hAnsi="Times New Roman" w:cs="Times New Roman"/>
                <w:sz w:val="20"/>
                <w:szCs w:val="20"/>
              </w:rPr>
              <w:t>2000-2010</w:t>
            </w:r>
          </w:p>
        </w:tc>
        <w:tc>
          <w:tcPr>
            <w:tcW w:w="1247" w:type="dxa"/>
            <w:tcBorders>
              <w:top w:val="single" w:sz="4" w:space="0" w:color="auto"/>
              <w:bottom w:val="single" w:sz="4" w:space="0" w:color="auto"/>
            </w:tcBorders>
            <w:vAlign w:val="center"/>
          </w:tcPr>
          <w:p w14:paraId="0F735031" w14:textId="3BAD044E" w:rsidR="00A444F0" w:rsidRPr="008F589A" w:rsidRDefault="00A444F0" w:rsidP="002D1F70">
            <w:pPr>
              <w:jc w:val="center"/>
              <w:rPr>
                <w:rFonts w:ascii="Times New Roman" w:hAnsi="Times New Roman" w:cs="Times New Roman"/>
                <w:sz w:val="20"/>
                <w:szCs w:val="20"/>
              </w:rPr>
            </w:pPr>
            <w:r w:rsidRPr="008F589A">
              <w:rPr>
                <w:rFonts w:ascii="Times New Roman" w:hAnsi="Times New Roman" w:cs="Times New Roman"/>
                <w:sz w:val="20"/>
                <w:szCs w:val="20"/>
              </w:rPr>
              <w:t>2010-2020</w:t>
            </w:r>
          </w:p>
        </w:tc>
      </w:tr>
      <w:tr w:rsidR="00A444F0" w14:paraId="57EA9C25" w14:textId="40BC2D77" w:rsidTr="008F589A">
        <w:trPr>
          <w:jc w:val="center"/>
        </w:trPr>
        <w:tc>
          <w:tcPr>
            <w:tcW w:w="2551" w:type="dxa"/>
            <w:tcBorders>
              <w:top w:val="single" w:sz="4" w:space="0" w:color="auto"/>
            </w:tcBorders>
            <w:vAlign w:val="bottom"/>
          </w:tcPr>
          <w:p w14:paraId="32942BD7" w14:textId="56F756C5" w:rsidR="00A444F0" w:rsidRPr="008F589A" w:rsidRDefault="00A444F0" w:rsidP="00390677">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Tasa de interés</w:t>
            </w:r>
            <w:r w:rsidR="001D36DA">
              <w:rPr>
                <w:rFonts w:ascii="Times New Roman" w:eastAsia="Times New Roman" w:hAnsi="Times New Roman" w:cs="Times New Roman"/>
                <w:sz w:val="20"/>
                <w:szCs w:val="20"/>
                <w:lang w:eastAsia="es-MX"/>
              </w:rPr>
              <w:t xml:space="preserve"> </w:t>
            </w:r>
            <w:r w:rsidR="001D36DA" w:rsidRPr="001D36DA">
              <w:rPr>
                <w:rFonts w:ascii="Times New Roman" w:eastAsia="Times New Roman" w:hAnsi="Times New Roman" w:cs="Times New Roman"/>
                <w:sz w:val="20"/>
                <w:szCs w:val="20"/>
                <w:vertAlign w:val="superscript"/>
                <w:lang w:eastAsia="es-MX"/>
              </w:rPr>
              <w:t>/3</w:t>
            </w:r>
          </w:p>
        </w:tc>
        <w:tc>
          <w:tcPr>
            <w:tcW w:w="1247" w:type="dxa"/>
            <w:tcBorders>
              <w:top w:val="single" w:sz="4" w:space="0" w:color="auto"/>
            </w:tcBorders>
            <w:vAlign w:val="center"/>
          </w:tcPr>
          <w:p w14:paraId="59FD07A7" w14:textId="5F25A00B"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4.9</w:t>
            </w:r>
          </w:p>
        </w:tc>
        <w:tc>
          <w:tcPr>
            <w:tcW w:w="1247" w:type="dxa"/>
            <w:tcBorders>
              <w:top w:val="single" w:sz="4" w:space="0" w:color="auto"/>
            </w:tcBorders>
            <w:vAlign w:val="center"/>
          </w:tcPr>
          <w:p w14:paraId="5B1B86C8" w14:textId="4179AB86"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2.5</w:t>
            </w:r>
          </w:p>
        </w:tc>
        <w:tc>
          <w:tcPr>
            <w:tcW w:w="1247" w:type="dxa"/>
            <w:tcBorders>
              <w:top w:val="single" w:sz="4" w:space="0" w:color="auto"/>
            </w:tcBorders>
            <w:vAlign w:val="center"/>
          </w:tcPr>
          <w:p w14:paraId="4A0E7CD3" w14:textId="73B6123D"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0.5</w:t>
            </w:r>
          </w:p>
        </w:tc>
      </w:tr>
      <w:tr w:rsidR="00A444F0" w14:paraId="12ADEECF" w14:textId="541F4F21" w:rsidTr="008F589A">
        <w:trPr>
          <w:jc w:val="center"/>
        </w:trPr>
        <w:tc>
          <w:tcPr>
            <w:tcW w:w="2551" w:type="dxa"/>
            <w:vAlign w:val="bottom"/>
          </w:tcPr>
          <w:p w14:paraId="66E6C516" w14:textId="0F86FB03" w:rsidR="00A444F0" w:rsidRPr="008F589A" w:rsidRDefault="00F10140" w:rsidP="00390677">
            <w:pPr>
              <w:spacing w:before="40" w:after="40"/>
              <w:rPr>
                <w:rFonts w:ascii="Times New Roman" w:hAnsi="Times New Roman" w:cs="Times New Roman"/>
                <w:sz w:val="20"/>
                <w:szCs w:val="20"/>
              </w:rPr>
            </w:pPr>
            <w:r>
              <w:rPr>
                <w:rFonts w:ascii="Times New Roman" w:eastAsia="Times New Roman" w:hAnsi="Times New Roman" w:cs="Times New Roman"/>
                <w:sz w:val="20"/>
                <w:szCs w:val="20"/>
                <w:lang w:eastAsia="es-MX"/>
              </w:rPr>
              <w:t>Precios del Consumidor</w:t>
            </w:r>
            <w:r w:rsidR="001D36DA">
              <w:rPr>
                <w:rFonts w:ascii="Times New Roman" w:eastAsia="Times New Roman" w:hAnsi="Times New Roman" w:cs="Times New Roman"/>
                <w:sz w:val="20"/>
                <w:szCs w:val="20"/>
                <w:lang w:eastAsia="es-MX"/>
              </w:rPr>
              <w:t xml:space="preserve"> </w:t>
            </w:r>
            <w:r w:rsidR="001D36DA" w:rsidRPr="001D36DA">
              <w:rPr>
                <w:rFonts w:ascii="Times New Roman" w:eastAsia="Times New Roman" w:hAnsi="Times New Roman" w:cs="Times New Roman"/>
                <w:sz w:val="20"/>
                <w:szCs w:val="20"/>
                <w:vertAlign w:val="superscript"/>
                <w:lang w:eastAsia="es-MX"/>
              </w:rPr>
              <w:t>/</w:t>
            </w:r>
            <w:r w:rsidR="001D36DA">
              <w:rPr>
                <w:rFonts w:ascii="Times New Roman" w:eastAsia="Times New Roman" w:hAnsi="Times New Roman" w:cs="Times New Roman"/>
                <w:sz w:val="20"/>
                <w:szCs w:val="20"/>
                <w:vertAlign w:val="superscript"/>
                <w:lang w:eastAsia="es-MX"/>
              </w:rPr>
              <w:t>1</w:t>
            </w:r>
          </w:p>
        </w:tc>
        <w:tc>
          <w:tcPr>
            <w:tcW w:w="1247" w:type="dxa"/>
            <w:vAlign w:val="center"/>
          </w:tcPr>
          <w:p w14:paraId="7E547694" w14:textId="2AE690D8"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2.8</w:t>
            </w:r>
          </w:p>
        </w:tc>
        <w:tc>
          <w:tcPr>
            <w:tcW w:w="1247" w:type="dxa"/>
            <w:vAlign w:val="center"/>
          </w:tcPr>
          <w:p w14:paraId="09560048" w14:textId="6A4F6A7C"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2.4</w:t>
            </w:r>
          </w:p>
        </w:tc>
        <w:tc>
          <w:tcPr>
            <w:tcW w:w="1247" w:type="dxa"/>
            <w:vAlign w:val="center"/>
          </w:tcPr>
          <w:p w14:paraId="43558F04" w14:textId="03B503D9"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1.7</w:t>
            </w:r>
          </w:p>
        </w:tc>
      </w:tr>
      <w:tr w:rsidR="00A444F0" w14:paraId="163FBAAF" w14:textId="2FA1DD35" w:rsidTr="008F589A">
        <w:trPr>
          <w:jc w:val="center"/>
        </w:trPr>
        <w:tc>
          <w:tcPr>
            <w:tcW w:w="2551" w:type="dxa"/>
            <w:vAlign w:val="bottom"/>
          </w:tcPr>
          <w:p w14:paraId="7891FEBA" w14:textId="379A92A3" w:rsidR="00A444F0" w:rsidRPr="008F589A" w:rsidRDefault="00A444F0" w:rsidP="00390677">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PIB</w:t>
            </w:r>
            <w:r w:rsidR="00F10140">
              <w:rPr>
                <w:rFonts w:ascii="Times New Roman" w:eastAsia="Times New Roman" w:hAnsi="Times New Roman" w:cs="Times New Roman"/>
                <w:sz w:val="20"/>
                <w:szCs w:val="20"/>
                <w:lang w:eastAsia="es-MX"/>
              </w:rPr>
              <w:t xml:space="preserve"> </w:t>
            </w:r>
            <w:r w:rsidR="00F10140" w:rsidRPr="001D36DA">
              <w:rPr>
                <w:rFonts w:ascii="Times New Roman" w:eastAsia="Times New Roman" w:hAnsi="Times New Roman" w:cs="Times New Roman"/>
                <w:sz w:val="20"/>
                <w:szCs w:val="20"/>
                <w:vertAlign w:val="superscript"/>
                <w:lang w:eastAsia="es-MX"/>
              </w:rPr>
              <w:t>/</w:t>
            </w:r>
            <w:r w:rsidR="00F10140">
              <w:rPr>
                <w:rFonts w:ascii="Times New Roman" w:eastAsia="Times New Roman" w:hAnsi="Times New Roman" w:cs="Times New Roman"/>
                <w:sz w:val="20"/>
                <w:szCs w:val="20"/>
                <w:vertAlign w:val="superscript"/>
                <w:lang w:eastAsia="es-MX"/>
              </w:rPr>
              <w:t>1</w:t>
            </w:r>
          </w:p>
        </w:tc>
        <w:tc>
          <w:tcPr>
            <w:tcW w:w="1247" w:type="dxa"/>
            <w:vAlign w:val="center"/>
          </w:tcPr>
          <w:p w14:paraId="7EFC11FB" w14:textId="5261456B"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3.4</w:t>
            </w:r>
          </w:p>
        </w:tc>
        <w:tc>
          <w:tcPr>
            <w:tcW w:w="1247" w:type="dxa"/>
            <w:vAlign w:val="center"/>
          </w:tcPr>
          <w:p w14:paraId="274ACBD0" w14:textId="78B0EC70"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1.7</w:t>
            </w:r>
          </w:p>
        </w:tc>
        <w:tc>
          <w:tcPr>
            <w:tcW w:w="1247" w:type="dxa"/>
            <w:vAlign w:val="center"/>
          </w:tcPr>
          <w:p w14:paraId="7B79A753" w14:textId="366B8B56" w:rsidR="00A444F0" w:rsidRPr="008F589A" w:rsidRDefault="00A444F0" w:rsidP="002D1F70">
            <w:pPr>
              <w:jc w:val="center"/>
              <w:rPr>
                <w:rFonts w:ascii="Times New Roman" w:hAnsi="Times New Roman" w:cs="Times New Roman"/>
                <w:i/>
                <w:iCs/>
              </w:rPr>
            </w:pPr>
            <w:r w:rsidRPr="008F589A">
              <w:rPr>
                <w:rFonts w:ascii="Times New Roman" w:eastAsia="Times New Roman" w:hAnsi="Times New Roman" w:cs="Times New Roman"/>
                <w:i/>
                <w:iCs/>
                <w:lang w:eastAsia="es-MX"/>
              </w:rPr>
              <w:t>1.7</w:t>
            </w:r>
          </w:p>
        </w:tc>
      </w:tr>
      <w:tr w:rsidR="001A0685" w14:paraId="7DD38002" w14:textId="77777777" w:rsidTr="00446692">
        <w:trPr>
          <w:jc w:val="center"/>
        </w:trPr>
        <w:tc>
          <w:tcPr>
            <w:tcW w:w="2551" w:type="dxa"/>
            <w:vAlign w:val="bottom"/>
          </w:tcPr>
          <w:p w14:paraId="301893BE" w14:textId="6C866DEA" w:rsidR="001A0685" w:rsidRPr="008F589A" w:rsidRDefault="001A0685" w:rsidP="001A0685">
            <w:pPr>
              <w:spacing w:before="40" w:after="40"/>
              <w:rPr>
                <w:rFonts w:ascii="Times New Roman" w:eastAsia="Times New Roman" w:hAnsi="Times New Roman" w:cs="Times New Roman"/>
                <w:sz w:val="20"/>
                <w:szCs w:val="20"/>
                <w:lang w:eastAsia="es-MX"/>
              </w:rPr>
            </w:pPr>
            <w:r>
              <w:rPr>
                <w:rFonts w:ascii="Times New Roman" w:eastAsia="Times New Roman" w:hAnsi="Times New Roman" w:cs="Times New Roman"/>
                <w:sz w:val="20"/>
                <w:szCs w:val="20"/>
                <w:lang w:eastAsia="es-MX"/>
              </w:rPr>
              <w:t>Tasa de desempleo</w:t>
            </w:r>
            <w:r w:rsidR="00A846EA">
              <w:rPr>
                <w:rFonts w:ascii="Times New Roman" w:eastAsia="Times New Roman" w:hAnsi="Times New Roman" w:cs="Times New Roman"/>
                <w:sz w:val="20"/>
                <w:szCs w:val="20"/>
                <w:lang w:eastAsia="es-MX"/>
              </w:rPr>
              <w:t xml:space="preserve"> </w:t>
            </w:r>
            <w:r w:rsidR="00A846EA" w:rsidRPr="001D36DA">
              <w:rPr>
                <w:rFonts w:ascii="Times New Roman" w:eastAsia="Times New Roman" w:hAnsi="Times New Roman" w:cs="Times New Roman"/>
                <w:sz w:val="20"/>
                <w:szCs w:val="20"/>
                <w:vertAlign w:val="superscript"/>
                <w:lang w:eastAsia="es-MX"/>
              </w:rPr>
              <w:t>/3</w:t>
            </w:r>
          </w:p>
        </w:tc>
        <w:tc>
          <w:tcPr>
            <w:tcW w:w="1247" w:type="dxa"/>
            <w:vAlign w:val="bottom"/>
          </w:tcPr>
          <w:p w14:paraId="39E8AC3A" w14:textId="7501378D" w:rsidR="001A0685" w:rsidRPr="008F589A" w:rsidRDefault="001A0685" w:rsidP="001A0685">
            <w:pPr>
              <w:jc w:val="center"/>
              <w:rPr>
                <w:rFonts w:ascii="Times New Roman" w:eastAsia="Times New Roman" w:hAnsi="Times New Roman" w:cs="Times New Roman"/>
                <w:i/>
                <w:iCs/>
                <w:lang w:eastAsia="es-MX"/>
              </w:rPr>
            </w:pPr>
            <w:r w:rsidRPr="00323F4D">
              <w:rPr>
                <w:rFonts w:ascii="Times New Roman" w:eastAsia="Times New Roman" w:hAnsi="Times New Roman" w:cs="Times New Roman"/>
                <w:i/>
                <w:iCs/>
                <w:lang w:eastAsia="es-MX"/>
              </w:rPr>
              <w:t>5.6</w:t>
            </w:r>
          </w:p>
        </w:tc>
        <w:tc>
          <w:tcPr>
            <w:tcW w:w="1247" w:type="dxa"/>
            <w:vAlign w:val="bottom"/>
          </w:tcPr>
          <w:p w14:paraId="2E23FC7F" w14:textId="4ABD008D" w:rsidR="001A0685" w:rsidRPr="008F589A" w:rsidRDefault="001A0685" w:rsidP="001A0685">
            <w:pPr>
              <w:jc w:val="center"/>
              <w:rPr>
                <w:rFonts w:ascii="Times New Roman" w:eastAsia="Times New Roman" w:hAnsi="Times New Roman" w:cs="Times New Roman"/>
                <w:i/>
                <w:iCs/>
                <w:lang w:eastAsia="es-MX"/>
              </w:rPr>
            </w:pPr>
            <w:r w:rsidRPr="00323F4D">
              <w:rPr>
                <w:rFonts w:ascii="Times New Roman" w:eastAsia="Times New Roman" w:hAnsi="Times New Roman" w:cs="Times New Roman"/>
                <w:i/>
                <w:iCs/>
                <w:lang w:eastAsia="es-MX"/>
              </w:rPr>
              <w:t>5.9</w:t>
            </w:r>
          </w:p>
        </w:tc>
        <w:tc>
          <w:tcPr>
            <w:tcW w:w="1247" w:type="dxa"/>
            <w:vAlign w:val="bottom"/>
          </w:tcPr>
          <w:p w14:paraId="359A5C4B" w14:textId="4FCB0374" w:rsidR="001A0685" w:rsidRPr="008F589A" w:rsidRDefault="001A0685" w:rsidP="001A0685">
            <w:pPr>
              <w:jc w:val="center"/>
              <w:rPr>
                <w:rFonts w:ascii="Times New Roman" w:eastAsia="Times New Roman" w:hAnsi="Times New Roman" w:cs="Times New Roman"/>
                <w:i/>
                <w:iCs/>
                <w:lang w:eastAsia="es-MX"/>
              </w:rPr>
            </w:pPr>
            <w:r w:rsidRPr="00323F4D">
              <w:rPr>
                <w:rFonts w:ascii="Times New Roman" w:eastAsia="Times New Roman" w:hAnsi="Times New Roman" w:cs="Times New Roman"/>
                <w:i/>
                <w:iCs/>
                <w:lang w:eastAsia="es-MX"/>
              </w:rPr>
              <w:t>6.4</w:t>
            </w:r>
          </w:p>
        </w:tc>
      </w:tr>
      <w:tr w:rsidR="001A0685" w14:paraId="5A2F779B" w14:textId="4DA714EE" w:rsidTr="008F589A">
        <w:trPr>
          <w:jc w:val="center"/>
        </w:trPr>
        <w:tc>
          <w:tcPr>
            <w:tcW w:w="2551" w:type="dxa"/>
            <w:vAlign w:val="bottom"/>
          </w:tcPr>
          <w:p w14:paraId="733A3B53" w14:textId="32B22A20" w:rsidR="001A0685" w:rsidRPr="008F589A" w:rsidRDefault="001A0685" w:rsidP="001A0685">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 xml:space="preserve">Tipo de </w:t>
            </w:r>
            <w:r>
              <w:rPr>
                <w:rFonts w:ascii="Times New Roman" w:eastAsia="Times New Roman" w:hAnsi="Times New Roman" w:cs="Times New Roman"/>
                <w:sz w:val="20"/>
                <w:szCs w:val="20"/>
                <w:lang w:eastAsia="es-MX"/>
              </w:rPr>
              <w:t>C</w:t>
            </w:r>
            <w:r w:rsidRPr="008F589A">
              <w:rPr>
                <w:rFonts w:ascii="Times New Roman" w:eastAsia="Times New Roman" w:hAnsi="Times New Roman" w:cs="Times New Roman"/>
                <w:sz w:val="20"/>
                <w:szCs w:val="20"/>
                <w:lang w:eastAsia="es-MX"/>
              </w:rPr>
              <w:t>ambio</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1</w:t>
            </w:r>
          </w:p>
        </w:tc>
        <w:tc>
          <w:tcPr>
            <w:tcW w:w="1247" w:type="dxa"/>
            <w:vAlign w:val="center"/>
          </w:tcPr>
          <w:p w14:paraId="340BE592" w14:textId="56CD2574"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1.2</w:t>
            </w:r>
          </w:p>
        </w:tc>
        <w:tc>
          <w:tcPr>
            <w:tcW w:w="1247" w:type="dxa"/>
            <w:vAlign w:val="center"/>
          </w:tcPr>
          <w:p w14:paraId="4772D806" w14:textId="1722AA5C"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-2.6</w:t>
            </w:r>
          </w:p>
        </w:tc>
        <w:tc>
          <w:tcPr>
            <w:tcW w:w="1247" w:type="dxa"/>
            <w:vAlign w:val="center"/>
          </w:tcPr>
          <w:p w14:paraId="1BD62AAF" w14:textId="27EE4F62"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1.6</w:t>
            </w:r>
          </w:p>
        </w:tc>
      </w:tr>
      <w:tr w:rsidR="001A0685" w14:paraId="6EA87F3E" w14:textId="6D4303A4" w:rsidTr="008F589A">
        <w:trPr>
          <w:jc w:val="center"/>
        </w:trPr>
        <w:tc>
          <w:tcPr>
            <w:tcW w:w="2551" w:type="dxa"/>
            <w:vAlign w:val="bottom"/>
          </w:tcPr>
          <w:p w14:paraId="7EEC11DF" w14:textId="6E95E9FD" w:rsidR="001A0685" w:rsidRPr="008F589A" w:rsidRDefault="001A0685" w:rsidP="001A0685">
            <w:pPr>
              <w:spacing w:before="40" w:after="40"/>
              <w:rPr>
                <w:rFonts w:ascii="Times New Roman" w:eastAsia="Times New Roman" w:hAnsi="Times New Roman" w:cs="Times New Roman"/>
                <w:sz w:val="20"/>
                <w:szCs w:val="20"/>
                <w:lang w:eastAsia="es-MX"/>
              </w:rPr>
            </w:pPr>
            <w:r w:rsidRPr="008F589A">
              <w:rPr>
                <w:rFonts w:ascii="Times New Roman" w:eastAsia="Times New Roman" w:hAnsi="Times New Roman" w:cs="Times New Roman"/>
                <w:sz w:val="20"/>
                <w:szCs w:val="20"/>
                <w:lang w:eastAsia="es-MX"/>
              </w:rPr>
              <w:t>Balanza Comercial</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2</w:t>
            </w:r>
          </w:p>
        </w:tc>
        <w:tc>
          <w:tcPr>
            <w:tcW w:w="1247" w:type="dxa"/>
            <w:vAlign w:val="center"/>
          </w:tcPr>
          <w:p w14:paraId="7B0E2681" w14:textId="14A886DD" w:rsidR="001A0685" w:rsidRPr="008F589A" w:rsidRDefault="001A0685" w:rsidP="001A0685">
            <w:pPr>
              <w:jc w:val="center"/>
              <w:rPr>
                <w:rFonts w:ascii="Times New Roman" w:eastAsia="Times New Roman" w:hAnsi="Times New Roman" w:cs="Times New Roman"/>
                <w:i/>
                <w:iCs/>
                <w:lang w:eastAsia="es-MX"/>
              </w:rPr>
            </w:pPr>
            <w:r w:rsidRPr="001D36DA">
              <w:rPr>
                <w:rFonts w:ascii="Times New Roman" w:eastAsia="Times New Roman" w:hAnsi="Times New Roman" w:cs="Times New Roman"/>
                <w:i/>
                <w:iCs/>
                <w:lang w:eastAsia="es-MX"/>
              </w:rPr>
              <w:t>-1.4</w:t>
            </w:r>
          </w:p>
        </w:tc>
        <w:tc>
          <w:tcPr>
            <w:tcW w:w="1247" w:type="dxa"/>
            <w:vAlign w:val="center"/>
          </w:tcPr>
          <w:p w14:paraId="68E818F3" w14:textId="204A860F" w:rsidR="001A0685" w:rsidRPr="008F589A" w:rsidRDefault="001A0685" w:rsidP="001A0685">
            <w:pPr>
              <w:jc w:val="center"/>
              <w:rPr>
                <w:rFonts w:ascii="Times New Roman" w:eastAsia="Times New Roman" w:hAnsi="Times New Roman" w:cs="Times New Roman"/>
                <w:i/>
                <w:iCs/>
                <w:lang w:eastAsia="es-MX"/>
              </w:rPr>
            </w:pPr>
            <w:r w:rsidRPr="001D36DA">
              <w:rPr>
                <w:rFonts w:ascii="Times New Roman" w:eastAsia="Times New Roman" w:hAnsi="Times New Roman" w:cs="Times New Roman"/>
                <w:i/>
                <w:iCs/>
                <w:lang w:eastAsia="es-MX"/>
              </w:rPr>
              <w:t>-3.6</w:t>
            </w:r>
          </w:p>
        </w:tc>
        <w:tc>
          <w:tcPr>
            <w:tcW w:w="1247" w:type="dxa"/>
            <w:vAlign w:val="center"/>
          </w:tcPr>
          <w:p w14:paraId="2B12064F" w14:textId="6605A2A5" w:rsidR="001A0685" w:rsidRPr="008F589A" w:rsidRDefault="001A0685" w:rsidP="001A0685">
            <w:pPr>
              <w:jc w:val="center"/>
              <w:rPr>
                <w:rFonts w:ascii="Times New Roman" w:eastAsia="Times New Roman" w:hAnsi="Times New Roman" w:cs="Times New Roman"/>
                <w:i/>
                <w:iCs/>
                <w:lang w:eastAsia="es-MX"/>
              </w:rPr>
            </w:pPr>
            <w:r w:rsidRPr="001D36DA">
              <w:rPr>
                <w:rFonts w:ascii="Times New Roman" w:eastAsia="Times New Roman" w:hAnsi="Times New Roman" w:cs="Times New Roman"/>
                <w:i/>
                <w:iCs/>
                <w:lang w:eastAsia="es-MX"/>
              </w:rPr>
              <w:t>-2.4</w:t>
            </w:r>
          </w:p>
        </w:tc>
      </w:tr>
      <w:tr w:rsidR="001A0685" w14:paraId="5E557D45" w14:textId="0B664D2F" w:rsidTr="00446692">
        <w:trPr>
          <w:jc w:val="center"/>
        </w:trPr>
        <w:tc>
          <w:tcPr>
            <w:tcW w:w="2551" w:type="dxa"/>
            <w:vAlign w:val="bottom"/>
          </w:tcPr>
          <w:p w14:paraId="355F103F" w14:textId="59BFBCB5" w:rsidR="001A0685" w:rsidRPr="008F589A" w:rsidRDefault="001A0685" w:rsidP="001A0685">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Deuda</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2</w:t>
            </w:r>
          </w:p>
        </w:tc>
        <w:tc>
          <w:tcPr>
            <w:tcW w:w="1247" w:type="dxa"/>
            <w:vAlign w:val="bottom"/>
          </w:tcPr>
          <w:p w14:paraId="4383D35A" w14:textId="71265403" w:rsidR="001A0685" w:rsidRPr="00377839" w:rsidRDefault="001A0685" w:rsidP="001A0685">
            <w:pPr>
              <w:jc w:val="center"/>
              <w:rPr>
                <w:rFonts w:ascii="Times New Roman" w:eastAsia="Times New Roman" w:hAnsi="Times New Roman" w:cs="Times New Roman"/>
                <w:i/>
                <w:iCs/>
                <w:lang w:eastAsia="es-MX"/>
              </w:rPr>
            </w:pPr>
            <w:r w:rsidRPr="00377839">
              <w:rPr>
                <w:rFonts w:ascii="Times New Roman" w:eastAsia="Times New Roman" w:hAnsi="Times New Roman" w:cs="Times New Roman"/>
                <w:i/>
                <w:iCs/>
                <w:lang w:eastAsia="es-MX"/>
              </w:rPr>
              <w:t>61.0</w:t>
            </w:r>
          </w:p>
        </w:tc>
        <w:tc>
          <w:tcPr>
            <w:tcW w:w="1247" w:type="dxa"/>
            <w:vAlign w:val="bottom"/>
          </w:tcPr>
          <w:p w14:paraId="334FFB96" w14:textId="3B5CDEB0" w:rsidR="001A0685" w:rsidRPr="00377839" w:rsidRDefault="001A0685" w:rsidP="001A0685">
            <w:pPr>
              <w:jc w:val="center"/>
              <w:rPr>
                <w:rFonts w:ascii="Times New Roman" w:eastAsia="Times New Roman" w:hAnsi="Times New Roman" w:cs="Times New Roman"/>
                <w:i/>
                <w:iCs/>
                <w:lang w:eastAsia="es-MX"/>
              </w:rPr>
            </w:pPr>
            <w:r w:rsidRPr="00377839">
              <w:rPr>
                <w:rFonts w:ascii="Times New Roman" w:eastAsia="Times New Roman" w:hAnsi="Times New Roman" w:cs="Times New Roman"/>
                <w:i/>
                <w:iCs/>
                <w:lang w:eastAsia="es-MX"/>
              </w:rPr>
              <w:t>64.4</w:t>
            </w:r>
          </w:p>
        </w:tc>
        <w:tc>
          <w:tcPr>
            <w:tcW w:w="1247" w:type="dxa"/>
            <w:vAlign w:val="bottom"/>
          </w:tcPr>
          <w:p w14:paraId="1E7385CE" w14:textId="14FEF184" w:rsidR="001A0685" w:rsidRPr="00377839" w:rsidRDefault="001A0685" w:rsidP="001A0685">
            <w:pPr>
              <w:jc w:val="center"/>
              <w:rPr>
                <w:rFonts w:ascii="Times New Roman" w:eastAsia="Times New Roman" w:hAnsi="Times New Roman" w:cs="Times New Roman"/>
                <w:i/>
                <w:iCs/>
                <w:lang w:eastAsia="es-MX"/>
              </w:rPr>
            </w:pPr>
            <w:r w:rsidRPr="00377839">
              <w:rPr>
                <w:rFonts w:ascii="Times New Roman" w:eastAsia="Times New Roman" w:hAnsi="Times New Roman" w:cs="Times New Roman"/>
                <w:i/>
                <w:iCs/>
                <w:lang w:eastAsia="es-MX"/>
              </w:rPr>
              <w:t>102.2</w:t>
            </w:r>
          </w:p>
        </w:tc>
      </w:tr>
      <w:tr w:rsidR="001A0685" w14:paraId="55127923" w14:textId="4B9C5A2E" w:rsidTr="008F589A">
        <w:trPr>
          <w:jc w:val="center"/>
        </w:trPr>
        <w:tc>
          <w:tcPr>
            <w:tcW w:w="2551" w:type="dxa"/>
            <w:vAlign w:val="bottom"/>
          </w:tcPr>
          <w:p w14:paraId="443086B2" w14:textId="30E74A8A" w:rsidR="001A0685" w:rsidRPr="008F589A" w:rsidRDefault="001A0685" w:rsidP="001A0685">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Índice NASDAQ</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1</w:t>
            </w:r>
          </w:p>
        </w:tc>
        <w:tc>
          <w:tcPr>
            <w:tcW w:w="1247" w:type="dxa"/>
            <w:vAlign w:val="center"/>
          </w:tcPr>
          <w:p w14:paraId="2C5BB690" w14:textId="27202786"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24.9</w:t>
            </w:r>
          </w:p>
        </w:tc>
        <w:tc>
          <w:tcPr>
            <w:tcW w:w="1247" w:type="dxa"/>
            <w:vAlign w:val="center"/>
          </w:tcPr>
          <w:p w14:paraId="55778B54" w14:textId="1799013F"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-4.7</w:t>
            </w:r>
          </w:p>
        </w:tc>
        <w:tc>
          <w:tcPr>
            <w:tcW w:w="1247" w:type="dxa"/>
            <w:vAlign w:val="center"/>
          </w:tcPr>
          <w:p w14:paraId="6628E743" w14:textId="63D17EE3"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15.8</w:t>
            </w:r>
          </w:p>
        </w:tc>
      </w:tr>
      <w:tr w:rsidR="001A0685" w14:paraId="078C26B4" w14:textId="77777777" w:rsidTr="00446692">
        <w:trPr>
          <w:jc w:val="center"/>
        </w:trPr>
        <w:tc>
          <w:tcPr>
            <w:tcW w:w="2551" w:type="dxa"/>
            <w:vAlign w:val="bottom"/>
          </w:tcPr>
          <w:p w14:paraId="7D01DB2A" w14:textId="4AEAC68E" w:rsidR="001A0685" w:rsidRPr="008F589A" w:rsidRDefault="001A0685" w:rsidP="001A0685">
            <w:pPr>
              <w:spacing w:before="40" w:after="40"/>
              <w:rPr>
                <w:rFonts w:ascii="Times New Roman" w:eastAsia="Times New Roman" w:hAnsi="Times New Roman" w:cs="Times New Roman"/>
                <w:sz w:val="20"/>
                <w:szCs w:val="20"/>
                <w:lang w:eastAsia="es-MX"/>
              </w:rPr>
            </w:pPr>
            <w:r w:rsidRPr="008F589A">
              <w:rPr>
                <w:rFonts w:ascii="Times New Roman" w:eastAsia="Times New Roman" w:hAnsi="Times New Roman" w:cs="Times New Roman"/>
                <w:sz w:val="20"/>
                <w:szCs w:val="20"/>
                <w:lang w:eastAsia="es-MX"/>
              </w:rPr>
              <w:t>Índice S&amp;P 500</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1</w:t>
            </w:r>
          </w:p>
        </w:tc>
        <w:tc>
          <w:tcPr>
            <w:tcW w:w="1247" w:type="dxa"/>
            <w:vAlign w:val="bottom"/>
          </w:tcPr>
          <w:p w14:paraId="4B41C794" w14:textId="7A2AA749" w:rsidR="001A0685" w:rsidRPr="008F589A" w:rsidRDefault="001A0685" w:rsidP="001A0685">
            <w:pPr>
              <w:jc w:val="center"/>
              <w:rPr>
                <w:rFonts w:ascii="Times New Roman" w:eastAsia="Times New Roman" w:hAnsi="Times New Roman" w:cs="Times New Roman"/>
                <w:i/>
                <w:iCs/>
                <w:lang w:eastAsia="es-MX"/>
              </w:rPr>
            </w:pPr>
            <w:r w:rsidRPr="00DB6677">
              <w:rPr>
                <w:rFonts w:ascii="Times New Roman" w:eastAsia="Times New Roman" w:hAnsi="Times New Roman" w:cs="Times New Roman"/>
                <w:i/>
                <w:iCs/>
                <w:lang w:eastAsia="es-MX"/>
              </w:rPr>
              <w:t>15.6</w:t>
            </w:r>
          </w:p>
        </w:tc>
        <w:tc>
          <w:tcPr>
            <w:tcW w:w="1247" w:type="dxa"/>
            <w:vAlign w:val="bottom"/>
          </w:tcPr>
          <w:p w14:paraId="35925334" w14:textId="5160A77C" w:rsidR="001A0685" w:rsidRPr="008F589A" w:rsidRDefault="001A0685" w:rsidP="001A0685">
            <w:pPr>
              <w:jc w:val="center"/>
              <w:rPr>
                <w:rFonts w:ascii="Times New Roman" w:eastAsia="Times New Roman" w:hAnsi="Times New Roman" w:cs="Times New Roman"/>
                <w:i/>
                <w:iCs/>
                <w:lang w:eastAsia="es-MX"/>
              </w:rPr>
            </w:pPr>
            <w:r w:rsidRPr="00DB6677">
              <w:rPr>
                <w:rFonts w:ascii="Times New Roman" w:eastAsia="Times New Roman" w:hAnsi="Times New Roman" w:cs="Times New Roman"/>
                <w:i/>
                <w:iCs/>
                <w:lang w:eastAsia="es-MX"/>
              </w:rPr>
              <w:t>-2.3</w:t>
            </w:r>
          </w:p>
        </w:tc>
        <w:tc>
          <w:tcPr>
            <w:tcW w:w="1247" w:type="dxa"/>
            <w:vAlign w:val="bottom"/>
          </w:tcPr>
          <w:p w14:paraId="498ED4F2" w14:textId="04062594" w:rsidR="001A0685" w:rsidRPr="008F589A" w:rsidRDefault="001A0685" w:rsidP="001A0685">
            <w:pPr>
              <w:jc w:val="center"/>
              <w:rPr>
                <w:rFonts w:ascii="Times New Roman" w:eastAsia="Times New Roman" w:hAnsi="Times New Roman" w:cs="Times New Roman"/>
                <w:i/>
                <w:iCs/>
                <w:lang w:eastAsia="es-MX"/>
              </w:rPr>
            </w:pPr>
            <w:r w:rsidRPr="00DB6677">
              <w:rPr>
                <w:rFonts w:ascii="Times New Roman" w:eastAsia="Times New Roman" w:hAnsi="Times New Roman" w:cs="Times New Roman"/>
                <w:i/>
                <w:iCs/>
                <w:lang w:eastAsia="es-MX"/>
              </w:rPr>
              <w:t>11.0</w:t>
            </w:r>
          </w:p>
        </w:tc>
      </w:tr>
      <w:tr w:rsidR="001A0685" w14:paraId="6A0095F3" w14:textId="52D615F6" w:rsidTr="008F589A">
        <w:trPr>
          <w:jc w:val="center"/>
        </w:trPr>
        <w:tc>
          <w:tcPr>
            <w:tcW w:w="2551" w:type="dxa"/>
            <w:vAlign w:val="bottom"/>
          </w:tcPr>
          <w:p w14:paraId="628AD039" w14:textId="2B246A43" w:rsidR="001A0685" w:rsidRPr="008F589A" w:rsidRDefault="001A0685" w:rsidP="001A0685">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Balance Fiscal</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2</w:t>
            </w:r>
          </w:p>
        </w:tc>
        <w:tc>
          <w:tcPr>
            <w:tcW w:w="1247" w:type="dxa"/>
            <w:vAlign w:val="center"/>
          </w:tcPr>
          <w:p w14:paraId="2E5156B9" w14:textId="76FDC2B9"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-3.7</w:t>
            </w:r>
          </w:p>
        </w:tc>
        <w:tc>
          <w:tcPr>
            <w:tcW w:w="1247" w:type="dxa"/>
            <w:vAlign w:val="center"/>
          </w:tcPr>
          <w:p w14:paraId="0178CFEE" w14:textId="00242181"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-5.8</w:t>
            </w:r>
          </w:p>
        </w:tc>
        <w:tc>
          <w:tcPr>
            <w:tcW w:w="1247" w:type="dxa"/>
            <w:vAlign w:val="center"/>
          </w:tcPr>
          <w:p w14:paraId="12CD83FA" w14:textId="052613BB"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-6.8</w:t>
            </w:r>
          </w:p>
        </w:tc>
      </w:tr>
      <w:tr w:rsidR="001A0685" w14:paraId="033CD107" w14:textId="7D1FE110" w:rsidTr="008F589A">
        <w:trPr>
          <w:jc w:val="center"/>
        </w:trPr>
        <w:tc>
          <w:tcPr>
            <w:tcW w:w="2551" w:type="dxa"/>
            <w:vAlign w:val="bottom"/>
          </w:tcPr>
          <w:p w14:paraId="468FF2DF" w14:textId="1A24D3BC" w:rsidR="001A0685" w:rsidRPr="008F589A" w:rsidRDefault="001A0685" w:rsidP="001A0685">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Tasa de Ahorro</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2</w:t>
            </w:r>
          </w:p>
        </w:tc>
        <w:tc>
          <w:tcPr>
            <w:tcW w:w="1247" w:type="dxa"/>
            <w:vAlign w:val="center"/>
          </w:tcPr>
          <w:p w14:paraId="110E720A" w14:textId="20CF9373"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19.1</w:t>
            </w:r>
          </w:p>
        </w:tc>
        <w:tc>
          <w:tcPr>
            <w:tcW w:w="1247" w:type="dxa"/>
            <w:vAlign w:val="center"/>
          </w:tcPr>
          <w:p w14:paraId="72399863" w14:textId="56587290"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19.3</w:t>
            </w:r>
          </w:p>
        </w:tc>
        <w:tc>
          <w:tcPr>
            <w:tcW w:w="1247" w:type="dxa"/>
            <w:vAlign w:val="center"/>
          </w:tcPr>
          <w:p w14:paraId="2697F4FE" w14:textId="1A2FD26C"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22.9</w:t>
            </w:r>
          </w:p>
        </w:tc>
      </w:tr>
      <w:tr w:rsidR="001A0685" w14:paraId="552F7CA8" w14:textId="7AC721E0" w:rsidTr="008F589A">
        <w:trPr>
          <w:jc w:val="center"/>
        </w:trPr>
        <w:tc>
          <w:tcPr>
            <w:tcW w:w="2551" w:type="dxa"/>
            <w:tcBorders>
              <w:bottom w:val="single" w:sz="4" w:space="0" w:color="auto"/>
            </w:tcBorders>
            <w:vAlign w:val="bottom"/>
          </w:tcPr>
          <w:p w14:paraId="590EB316" w14:textId="468F0A33" w:rsidR="001A0685" w:rsidRPr="008F589A" w:rsidRDefault="001A0685" w:rsidP="001A0685">
            <w:pPr>
              <w:spacing w:before="40" w:after="40"/>
              <w:rPr>
                <w:rFonts w:ascii="Times New Roman" w:hAnsi="Times New Roman" w:cs="Times New Roman"/>
                <w:sz w:val="20"/>
                <w:szCs w:val="20"/>
              </w:rPr>
            </w:pPr>
            <w:r w:rsidRPr="008F589A">
              <w:rPr>
                <w:rFonts w:ascii="Times New Roman" w:eastAsia="Times New Roman" w:hAnsi="Times New Roman" w:cs="Times New Roman"/>
                <w:sz w:val="20"/>
                <w:szCs w:val="20"/>
                <w:lang w:eastAsia="es-MX"/>
              </w:rPr>
              <w:t>Formación de Capital</w:t>
            </w:r>
            <w:r>
              <w:rPr>
                <w:rFonts w:ascii="Times New Roman" w:eastAsia="Times New Roman" w:hAnsi="Times New Roman" w:cs="Times New Roman"/>
                <w:sz w:val="20"/>
                <w:szCs w:val="20"/>
                <w:lang w:eastAsia="es-MX"/>
              </w:rPr>
              <w:t xml:space="preserve"> </w:t>
            </w:r>
            <w:r w:rsidRPr="001D36DA">
              <w:rPr>
                <w:rFonts w:ascii="Times New Roman" w:eastAsia="Times New Roman" w:hAnsi="Times New Roman" w:cs="Times New Roman"/>
                <w:sz w:val="20"/>
                <w:szCs w:val="20"/>
                <w:vertAlign w:val="superscript"/>
                <w:lang w:eastAsia="es-MX"/>
              </w:rPr>
              <w:t>/</w:t>
            </w:r>
            <w:r>
              <w:rPr>
                <w:rFonts w:ascii="Times New Roman" w:eastAsia="Times New Roman" w:hAnsi="Times New Roman" w:cs="Times New Roman"/>
                <w:sz w:val="20"/>
                <w:szCs w:val="20"/>
                <w:vertAlign w:val="superscript"/>
                <w:lang w:eastAsia="es-MX"/>
              </w:rPr>
              <w:t>1</w:t>
            </w:r>
          </w:p>
        </w:tc>
        <w:tc>
          <w:tcPr>
            <w:tcW w:w="1247" w:type="dxa"/>
            <w:tcBorders>
              <w:bottom w:val="single" w:sz="4" w:space="0" w:color="auto"/>
            </w:tcBorders>
            <w:vAlign w:val="center"/>
          </w:tcPr>
          <w:p w14:paraId="2D58A997" w14:textId="485143E9"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3.6</w:t>
            </w:r>
          </w:p>
        </w:tc>
        <w:tc>
          <w:tcPr>
            <w:tcW w:w="1247" w:type="dxa"/>
            <w:tcBorders>
              <w:bottom w:val="single" w:sz="4" w:space="0" w:color="auto"/>
            </w:tcBorders>
            <w:vAlign w:val="center"/>
          </w:tcPr>
          <w:p w14:paraId="3D6ECEFC" w14:textId="70A72273"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-0.9</w:t>
            </w:r>
          </w:p>
        </w:tc>
        <w:tc>
          <w:tcPr>
            <w:tcW w:w="1247" w:type="dxa"/>
            <w:tcBorders>
              <w:bottom w:val="single" w:sz="4" w:space="0" w:color="auto"/>
            </w:tcBorders>
            <w:vAlign w:val="center"/>
          </w:tcPr>
          <w:p w14:paraId="5F077E2D" w14:textId="56E189B1" w:rsidR="001A0685" w:rsidRPr="008F589A" w:rsidRDefault="001A0685" w:rsidP="001A0685">
            <w:pPr>
              <w:jc w:val="center"/>
              <w:rPr>
                <w:rFonts w:ascii="Times New Roman" w:hAnsi="Times New Roman" w:cs="Times New Roman"/>
                <w:i/>
                <w:iCs/>
              </w:rPr>
            </w:pPr>
            <w:r w:rsidRPr="008F589A">
              <w:rPr>
                <w:rFonts w:ascii="Times New Roman" w:eastAsia="Times New Roman" w:hAnsi="Times New Roman" w:cs="Times New Roman"/>
                <w:i/>
                <w:iCs/>
                <w:lang w:eastAsia="es-MX"/>
              </w:rPr>
              <w:t>3.2</w:t>
            </w:r>
          </w:p>
        </w:tc>
      </w:tr>
      <w:tr w:rsidR="001A0685" w14:paraId="2EC2DEA5" w14:textId="6AF0D09D" w:rsidTr="00446692">
        <w:trPr>
          <w:jc w:val="center"/>
        </w:trPr>
        <w:tc>
          <w:tcPr>
            <w:tcW w:w="6292" w:type="dxa"/>
            <w:gridSpan w:val="4"/>
            <w:tcBorders>
              <w:top w:val="single" w:sz="4" w:space="0" w:color="auto"/>
            </w:tcBorders>
          </w:tcPr>
          <w:p w14:paraId="028A48B8" w14:textId="77777777" w:rsidR="001A0685" w:rsidRDefault="001A0685" w:rsidP="001A0685">
            <w:pPr>
              <w:jc w:val="both"/>
              <w:rPr>
                <w:rFonts w:ascii="Times New Roman" w:eastAsia="Times New Roman" w:hAnsi="Times New Roman" w:cs="Times New Roman"/>
                <w:sz w:val="20"/>
                <w:szCs w:val="20"/>
                <w:lang w:eastAsia="es-MX"/>
              </w:rPr>
            </w:pPr>
            <w:r w:rsidRPr="00A00D7E">
              <w:rPr>
                <w:rFonts w:ascii="Times New Roman" w:eastAsia="Times New Roman" w:hAnsi="Times New Roman" w:cs="Times New Roman"/>
                <w:sz w:val="20"/>
                <w:szCs w:val="20"/>
                <w:lang w:eastAsia="es-MX"/>
              </w:rPr>
              <w:t xml:space="preserve">1/tasa de crecimiento promedio anual; 2/ como proporción del </w:t>
            </w:r>
            <w:r>
              <w:rPr>
                <w:rFonts w:ascii="Times New Roman" w:eastAsia="Times New Roman" w:hAnsi="Times New Roman" w:cs="Times New Roman"/>
                <w:sz w:val="20"/>
                <w:szCs w:val="20"/>
                <w:lang w:eastAsia="es-MX"/>
              </w:rPr>
              <w:t>PIB</w:t>
            </w:r>
            <w:r w:rsidRPr="00A00D7E">
              <w:rPr>
                <w:rFonts w:ascii="Times New Roman" w:eastAsia="Times New Roman" w:hAnsi="Times New Roman" w:cs="Times New Roman"/>
                <w:sz w:val="20"/>
                <w:szCs w:val="20"/>
                <w:lang w:eastAsia="es-MX"/>
              </w:rPr>
              <w:t xml:space="preserve">; 3/ </w:t>
            </w:r>
            <w:r>
              <w:rPr>
                <w:rFonts w:ascii="Times New Roman" w:eastAsia="Times New Roman" w:hAnsi="Times New Roman" w:cs="Times New Roman"/>
                <w:sz w:val="20"/>
                <w:szCs w:val="20"/>
                <w:lang w:eastAsia="es-MX"/>
              </w:rPr>
              <w:t>promedio del indicador</w:t>
            </w:r>
            <w:r w:rsidRPr="00A00D7E">
              <w:rPr>
                <w:rFonts w:ascii="Times New Roman" w:eastAsia="Times New Roman" w:hAnsi="Times New Roman" w:cs="Times New Roman"/>
                <w:sz w:val="20"/>
                <w:szCs w:val="20"/>
                <w:lang w:eastAsia="es-MX"/>
              </w:rPr>
              <w:t xml:space="preserve">. </w:t>
            </w:r>
          </w:p>
          <w:p w14:paraId="7A8AEE1D" w14:textId="21C0F52B" w:rsidR="001A0685" w:rsidRPr="00866E9F" w:rsidRDefault="001A0685" w:rsidP="001A0685">
            <w:pPr>
              <w:jc w:val="both"/>
              <w:rPr>
                <w:rFonts w:ascii="Times New Roman" w:hAnsi="Times New Roman" w:cs="Times New Roman"/>
                <w:sz w:val="18"/>
                <w:szCs w:val="18"/>
              </w:rPr>
            </w:pPr>
            <w:r w:rsidRPr="00A00D7E">
              <w:rPr>
                <w:rFonts w:ascii="Times New Roman" w:eastAsia="Times New Roman" w:hAnsi="Times New Roman" w:cs="Times New Roman"/>
                <w:sz w:val="20"/>
                <w:szCs w:val="20"/>
                <w:lang w:eastAsia="es-MX"/>
              </w:rPr>
              <w:t>Fuente: elaboración de los autores con</w:t>
            </w:r>
            <w:r>
              <w:rPr>
                <w:rFonts w:ascii="Times New Roman" w:eastAsia="Times New Roman" w:hAnsi="Times New Roman" w:cs="Times New Roman"/>
                <w:sz w:val="20"/>
                <w:szCs w:val="20"/>
                <w:lang w:eastAsia="es-MX"/>
              </w:rPr>
              <w:t xml:space="preserve"> datos del Banco de la Reserva Federal</w:t>
            </w:r>
          </w:p>
        </w:tc>
      </w:tr>
    </w:tbl>
    <w:p w14:paraId="2099A81F" w14:textId="1FD4F7E2" w:rsidR="00866E9F" w:rsidRDefault="00866E9F" w:rsidP="00866E9F">
      <w:pPr>
        <w:spacing w:after="0" w:line="360" w:lineRule="auto"/>
        <w:rPr>
          <w:rFonts w:ascii="Times New Roman" w:hAnsi="Times New Roman" w:cs="Times New Roman"/>
          <w:sz w:val="24"/>
          <w:szCs w:val="24"/>
        </w:rPr>
      </w:pPr>
    </w:p>
    <w:p w14:paraId="48366B99" w14:textId="5EEF9B99" w:rsidR="006F29B3" w:rsidRDefault="00382112" w:rsidP="009E71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la misma dirección</w:t>
      </w:r>
      <w:r w:rsidR="00C63252">
        <w:rPr>
          <w:rFonts w:ascii="Times New Roman" w:hAnsi="Times New Roman" w:cs="Times New Roman"/>
          <w:sz w:val="24"/>
          <w:szCs w:val="24"/>
        </w:rPr>
        <w:t xml:space="preserve">, la </w:t>
      </w:r>
      <w:r w:rsidR="00446692">
        <w:rPr>
          <w:rFonts w:ascii="Times New Roman" w:hAnsi="Times New Roman" w:cs="Times New Roman"/>
          <w:sz w:val="24"/>
          <w:szCs w:val="24"/>
        </w:rPr>
        <w:t xml:space="preserve">respuesta de la tasa de desempleo al choque </w:t>
      </w:r>
      <w:proofErr w:type="spellStart"/>
      <w:r w:rsidR="00446692">
        <w:rPr>
          <w:rFonts w:ascii="Times New Roman" w:hAnsi="Times New Roman" w:cs="Times New Roman"/>
          <w:sz w:val="24"/>
          <w:szCs w:val="24"/>
        </w:rPr>
        <w:t>subprime</w:t>
      </w:r>
      <w:proofErr w:type="spellEnd"/>
      <w:r w:rsidR="00446692">
        <w:rPr>
          <w:rFonts w:ascii="Times New Roman" w:hAnsi="Times New Roman" w:cs="Times New Roman"/>
          <w:sz w:val="24"/>
          <w:szCs w:val="24"/>
        </w:rPr>
        <w:t xml:space="preserve"> de 200</w:t>
      </w:r>
      <w:r w:rsidR="000445C2">
        <w:rPr>
          <w:rFonts w:ascii="Times New Roman" w:hAnsi="Times New Roman" w:cs="Times New Roman"/>
          <w:sz w:val="24"/>
          <w:szCs w:val="24"/>
        </w:rPr>
        <w:t>7</w:t>
      </w:r>
      <w:r w:rsidR="00446692">
        <w:rPr>
          <w:rFonts w:ascii="Times New Roman" w:hAnsi="Times New Roman" w:cs="Times New Roman"/>
          <w:sz w:val="24"/>
          <w:szCs w:val="24"/>
        </w:rPr>
        <w:t>/200</w:t>
      </w:r>
      <w:r w:rsidR="000445C2">
        <w:rPr>
          <w:rFonts w:ascii="Times New Roman" w:hAnsi="Times New Roman" w:cs="Times New Roman"/>
          <w:sz w:val="24"/>
          <w:szCs w:val="24"/>
        </w:rPr>
        <w:t>8</w:t>
      </w:r>
      <w:r w:rsidR="00446692">
        <w:rPr>
          <w:rFonts w:ascii="Times New Roman" w:hAnsi="Times New Roman" w:cs="Times New Roman"/>
          <w:sz w:val="24"/>
          <w:szCs w:val="24"/>
        </w:rPr>
        <w:t xml:space="preserve">, para converger a su senda de equilibrio, fue </w:t>
      </w:r>
      <w:r>
        <w:rPr>
          <w:rFonts w:ascii="Times New Roman" w:hAnsi="Times New Roman" w:cs="Times New Roman"/>
          <w:sz w:val="24"/>
          <w:szCs w:val="24"/>
        </w:rPr>
        <w:t xml:space="preserve">gradual y </w:t>
      </w:r>
      <w:r w:rsidR="00446692">
        <w:rPr>
          <w:rFonts w:ascii="Times New Roman" w:hAnsi="Times New Roman" w:cs="Times New Roman"/>
          <w:sz w:val="24"/>
          <w:szCs w:val="24"/>
        </w:rPr>
        <w:t>lenta</w:t>
      </w:r>
      <w:r>
        <w:rPr>
          <w:rFonts w:ascii="Times New Roman" w:hAnsi="Times New Roman" w:cs="Times New Roman"/>
          <w:sz w:val="24"/>
          <w:szCs w:val="24"/>
        </w:rPr>
        <w:t>; e</w:t>
      </w:r>
      <w:r w:rsidR="00446692">
        <w:rPr>
          <w:rFonts w:ascii="Times New Roman" w:hAnsi="Times New Roman" w:cs="Times New Roman"/>
          <w:sz w:val="24"/>
          <w:szCs w:val="24"/>
        </w:rPr>
        <w:t xml:space="preserve">ncontrando nuevamente un punto de inflexión durante el </w:t>
      </w:r>
      <w:r w:rsidR="00730BAC">
        <w:rPr>
          <w:rFonts w:ascii="Times New Roman" w:hAnsi="Times New Roman" w:cs="Times New Roman"/>
          <w:sz w:val="24"/>
          <w:szCs w:val="24"/>
        </w:rPr>
        <w:t xml:space="preserve">cierre </w:t>
      </w:r>
      <w:r w:rsidR="00446692">
        <w:rPr>
          <w:rFonts w:ascii="Times New Roman" w:hAnsi="Times New Roman" w:cs="Times New Roman"/>
          <w:sz w:val="24"/>
          <w:szCs w:val="24"/>
        </w:rPr>
        <w:t xml:space="preserve">económico administrado de 2020, </w:t>
      </w:r>
      <w:r w:rsidR="00F37802">
        <w:rPr>
          <w:rFonts w:ascii="Times New Roman" w:hAnsi="Times New Roman" w:cs="Times New Roman"/>
          <w:sz w:val="24"/>
          <w:szCs w:val="24"/>
        </w:rPr>
        <w:t>no obstante</w:t>
      </w:r>
      <w:r w:rsidR="00446692">
        <w:rPr>
          <w:rFonts w:ascii="Times New Roman" w:hAnsi="Times New Roman" w:cs="Times New Roman"/>
          <w:sz w:val="24"/>
          <w:szCs w:val="24"/>
        </w:rPr>
        <w:t>,</w:t>
      </w:r>
      <w:r w:rsidR="00DB2752">
        <w:rPr>
          <w:rFonts w:ascii="Times New Roman" w:hAnsi="Times New Roman" w:cs="Times New Roman"/>
          <w:sz w:val="24"/>
          <w:szCs w:val="24"/>
        </w:rPr>
        <w:t xml:space="preserve"> el proceso de reactivación del empleo es visiblemente contrastante</w:t>
      </w:r>
      <w:r w:rsidR="00F37802">
        <w:rPr>
          <w:rFonts w:ascii="Times New Roman" w:hAnsi="Times New Roman" w:cs="Times New Roman"/>
          <w:sz w:val="24"/>
          <w:szCs w:val="24"/>
        </w:rPr>
        <w:t xml:space="preserve">. </w:t>
      </w:r>
      <w:r w:rsidR="00CB79EA">
        <w:rPr>
          <w:rFonts w:ascii="Times New Roman" w:hAnsi="Times New Roman" w:cs="Times New Roman"/>
          <w:sz w:val="24"/>
          <w:szCs w:val="24"/>
        </w:rPr>
        <w:t>Una discusión natural</w:t>
      </w:r>
      <w:r w:rsidR="0008032D">
        <w:rPr>
          <w:rFonts w:ascii="Times New Roman" w:hAnsi="Times New Roman" w:cs="Times New Roman"/>
          <w:sz w:val="24"/>
          <w:szCs w:val="24"/>
        </w:rPr>
        <w:t>,</w:t>
      </w:r>
      <w:r w:rsidR="00EB261D">
        <w:rPr>
          <w:rFonts w:ascii="Times New Roman" w:hAnsi="Times New Roman" w:cs="Times New Roman"/>
          <w:sz w:val="24"/>
          <w:szCs w:val="24"/>
        </w:rPr>
        <w:t xml:space="preserve"> en este contexto</w:t>
      </w:r>
      <w:r w:rsidR="0008032D">
        <w:rPr>
          <w:rFonts w:ascii="Times New Roman" w:hAnsi="Times New Roman" w:cs="Times New Roman"/>
          <w:sz w:val="24"/>
          <w:szCs w:val="24"/>
        </w:rPr>
        <w:t>,</w:t>
      </w:r>
      <w:r w:rsidR="00EB261D">
        <w:rPr>
          <w:rFonts w:ascii="Times New Roman" w:hAnsi="Times New Roman" w:cs="Times New Roman"/>
          <w:sz w:val="24"/>
          <w:szCs w:val="24"/>
        </w:rPr>
        <w:t xml:space="preserve"> </w:t>
      </w:r>
      <w:r w:rsidR="0008032D">
        <w:rPr>
          <w:rFonts w:ascii="Times New Roman" w:hAnsi="Times New Roman" w:cs="Times New Roman"/>
          <w:sz w:val="24"/>
          <w:szCs w:val="24"/>
        </w:rPr>
        <w:t>estaría orientad</w:t>
      </w:r>
      <w:r w:rsidR="007D7A18">
        <w:rPr>
          <w:rFonts w:ascii="Times New Roman" w:hAnsi="Times New Roman" w:cs="Times New Roman"/>
          <w:sz w:val="24"/>
          <w:szCs w:val="24"/>
        </w:rPr>
        <w:t>a</w:t>
      </w:r>
      <w:r w:rsidR="0008032D">
        <w:rPr>
          <w:rFonts w:ascii="Times New Roman" w:hAnsi="Times New Roman" w:cs="Times New Roman"/>
          <w:sz w:val="24"/>
          <w:szCs w:val="24"/>
        </w:rPr>
        <w:t xml:space="preserve"> a delimitar los efectos y eficacia de la política vigente de la FED en la distribución del ingreso y en la expansión de la economía real.  </w:t>
      </w:r>
      <w:r w:rsidR="00EB261D">
        <w:rPr>
          <w:rFonts w:ascii="Times New Roman" w:hAnsi="Times New Roman" w:cs="Times New Roman"/>
          <w:sz w:val="24"/>
          <w:szCs w:val="24"/>
        </w:rPr>
        <w:t xml:space="preserve"> </w:t>
      </w:r>
      <w:r w:rsidR="00DB2752">
        <w:rPr>
          <w:rFonts w:ascii="Times New Roman" w:hAnsi="Times New Roman" w:cs="Times New Roman"/>
          <w:sz w:val="24"/>
          <w:szCs w:val="24"/>
        </w:rPr>
        <w:t xml:space="preserve"> </w:t>
      </w:r>
      <w:r w:rsidR="00446692">
        <w:rPr>
          <w:rFonts w:ascii="Times New Roman" w:hAnsi="Times New Roman" w:cs="Times New Roman"/>
          <w:sz w:val="24"/>
          <w:szCs w:val="24"/>
        </w:rPr>
        <w:t xml:space="preserve">       </w:t>
      </w:r>
      <w:r w:rsidR="00C63252">
        <w:rPr>
          <w:rFonts w:ascii="Times New Roman" w:hAnsi="Times New Roman" w:cs="Times New Roman"/>
          <w:sz w:val="24"/>
          <w:szCs w:val="24"/>
        </w:rPr>
        <w:t xml:space="preserve"> </w:t>
      </w:r>
      <w:r w:rsidR="006F29B3">
        <w:rPr>
          <w:rFonts w:ascii="Times New Roman" w:hAnsi="Times New Roman" w:cs="Times New Roman"/>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4"/>
        <w:gridCol w:w="4434"/>
      </w:tblGrid>
      <w:tr w:rsidR="00886F62" w14:paraId="6B06543D" w14:textId="77777777" w:rsidTr="001A5569">
        <w:trPr>
          <w:trHeight w:val="1587"/>
        </w:trPr>
        <w:tc>
          <w:tcPr>
            <w:tcW w:w="4414" w:type="dxa"/>
          </w:tcPr>
          <w:p w14:paraId="32503673" w14:textId="68A008B0" w:rsidR="001A5569" w:rsidRPr="0012552E" w:rsidRDefault="001A5569" w:rsidP="00730BAC">
            <w:pPr>
              <w:spacing w:line="360" w:lineRule="auto"/>
              <w:jc w:val="both"/>
              <w:rPr>
                <w:noProof/>
              </w:rPr>
            </w:pPr>
            <w:r>
              <w:rPr>
                <w:noProof/>
              </w:rPr>
              <w:drawing>
                <wp:inline distT="0" distB="0" distL="0" distR="0" wp14:anchorId="5D7A8FC2" wp14:editId="0A2C82BB">
                  <wp:extent cx="2722245" cy="1490663"/>
                  <wp:effectExtent l="0" t="0" r="1905" b="0"/>
                  <wp:docPr id="8" name="Gráfico 8">
                    <a:extLst xmlns:a="http://schemas.openxmlformats.org/drawingml/2006/main">
                      <a:ext uri="{FF2B5EF4-FFF2-40B4-BE49-F238E27FC236}">
                        <a16:creationId xmlns:a16="http://schemas.microsoft.com/office/drawing/2014/main" id="{D57B1431-54D0-4F82-B5BA-A8814A6A8D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14" w:type="dxa"/>
          </w:tcPr>
          <w:p w14:paraId="4A4598DE" w14:textId="5E7A3016" w:rsidR="001A5569" w:rsidRPr="0012552E" w:rsidRDefault="001A5569" w:rsidP="001A5569">
            <w:pPr>
              <w:spacing w:line="360" w:lineRule="auto"/>
              <w:jc w:val="center"/>
              <w:rPr>
                <w:noProof/>
              </w:rPr>
            </w:pPr>
            <w:r>
              <w:rPr>
                <w:noProof/>
              </w:rPr>
              <w:drawing>
                <wp:inline distT="0" distB="0" distL="0" distR="0" wp14:anchorId="088BCF76" wp14:editId="4261D553">
                  <wp:extent cx="2738755" cy="1543050"/>
                  <wp:effectExtent l="0" t="0" r="4445" b="0"/>
                  <wp:docPr id="9" name="Gráfico 9">
                    <a:extLst xmlns:a="http://schemas.openxmlformats.org/drawingml/2006/main">
                      <a:ext uri="{FF2B5EF4-FFF2-40B4-BE49-F238E27FC236}">
                        <a16:creationId xmlns:a16="http://schemas.microsoft.com/office/drawing/2014/main" id="{53D484B7-5C4F-4920-AE78-D0AE10920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2552E" w14:paraId="4FAB509D" w14:textId="77777777" w:rsidTr="00730BAC">
        <w:tc>
          <w:tcPr>
            <w:tcW w:w="4414" w:type="dxa"/>
          </w:tcPr>
          <w:p w14:paraId="19708B20" w14:textId="0D961C60" w:rsidR="00F9083E" w:rsidRDefault="00F9083E" w:rsidP="0012552E">
            <w:pPr>
              <w:jc w:val="both"/>
              <w:rPr>
                <w:rFonts w:ascii="Times New Roman" w:hAnsi="Times New Roman" w:cs="Times New Roman"/>
                <w:sz w:val="20"/>
                <w:szCs w:val="20"/>
              </w:rPr>
            </w:pPr>
            <w:r w:rsidRPr="00960C84">
              <w:rPr>
                <w:rFonts w:ascii="Times New Roman" w:hAnsi="Times New Roman" w:cs="Times New Roman"/>
                <w:sz w:val="20"/>
                <w:szCs w:val="20"/>
              </w:rPr>
              <w:lastRenderedPageBreak/>
              <w:t>Figura 1. Actividad económica, desempleo y deuda</w:t>
            </w:r>
          </w:p>
          <w:p w14:paraId="7F8378FF" w14:textId="24C7A0CC" w:rsidR="0012552E" w:rsidRPr="00960C84" w:rsidRDefault="0012552E" w:rsidP="0012552E">
            <w:pPr>
              <w:jc w:val="both"/>
              <w:rPr>
                <w:rFonts w:ascii="Times New Roman" w:hAnsi="Times New Roman" w:cs="Times New Roman"/>
                <w:sz w:val="20"/>
                <w:szCs w:val="20"/>
              </w:rPr>
            </w:pPr>
            <w:r w:rsidRPr="00960C84">
              <w:rPr>
                <w:rFonts w:ascii="Times New Roman" w:hAnsi="Times New Roman" w:cs="Times New Roman"/>
                <w:sz w:val="20"/>
                <w:szCs w:val="20"/>
              </w:rPr>
              <w:t>Fuente: Elaboración de los autores con datos de la FED.</w:t>
            </w:r>
          </w:p>
          <w:p w14:paraId="4F50800C" w14:textId="4FE524F5" w:rsidR="0012552E" w:rsidRPr="00960C84" w:rsidRDefault="0012552E" w:rsidP="001A5569">
            <w:pPr>
              <w:jc w:val="both"/>
              <w:rPr>
                <w:rFonts w:ascii="Times New Roman" w:hAnsi="Times New Roman" w:cs="Times New Roman"/>
                <w:sz w:val="20"/>
                <w:szCs w:val="20"/>
              </w:rPr>
            </w:pPr>
          </w:p>
        </w:tc>
        <w:tc>
          <w:tcPr>
            <w:tcW w:w="4414" w:type="dxa"/>
          </w:tcPr>
          <w:p w14:paraId="1B6F0DF6" w14:textId="0691C252" w:rsidR="00960C84" w:rsidRDefault="00F9083E" w:rsidP="00960C84">
            <w:pPr>
              <w:jc w:val="both"/>
              <w:rPr>
                <w:rFonts w:ascii="Times New Roman" w:hAnsi="Times New Roman" w:cs="Times New Roman"/>
                <w:sz w:val="20"/>
                <w:szCs w:val="20"/>
              </w:rPr>
            </w:pPr>
            <w:r>
              <w:rPr>
                <w:rFonts w:ascii="Times New Roman" w:hAnsi="Times New Roman" w:cs="Times New Roman"/>
                <w:sz w:val="20"/>
                <w:szCs w:val="20"/>
              </w:rPr>
              <w:t>F</w:t>
            </w:r>
            <w:r w:rsidRPr="00960C84">
              <w:rPr>
                <w:rFonts w:ascii="Times New Roman" w:hAnsi="Times New Roman" w:cs="Times New Roman"/>
                <w:sz w:val="20"/>
                <w:szCs w:val="20"/>
              </w:rPr>
              <w:t xml:space="preserve">igura 2. </w:t>
            </w:r>
            <w:r>
              <w:rPr>
                <w:rFonts w:ascii="Times New Roman" w:hAnsi="Times New Roman" w:cs="Times New Roman"/>
                <w:sz w:val="20"/>
                <w:szCs w:val="20"/>
              </w:rPr>
              <w:t>Las</w:t>
            </w:r>
            <w:r w:rsidRPr="00960C84">
              <w:rPr>
                <w:rFonts w:ascii="Times New Roman" w:hAnsi="Times New Roman" w:cs="Times New Roman"/>
                <w:sz w:val="20"/>
                <w:szCs w:val="20"/>
              </w:rPr>
              <w:t xml:space="preserve"> tasa</w:t>
            </w:r>
            <w:r>
              <w:rPr>
                <w:rFonts w:ascii="Times New Roman" w:hAnsi="Times New Roman" w:cs="Times New Roman"/>
                <w:sz w:val="20"/>
                <w:szCs w:val="20"/>
              </w:rPr>
              <w:t>d</w:t>
            </w:r>
            <w:r w:rsidRPr="00960C84">
              <w:rPr>
                <w:rFonts w:ascii="Times New Roman" w:hAnsi="Times New Roman" w:cs="Times New Roman"/>
                <w:sz w:val="20"/>
                <w:szCs w:val="20"/>
              </w:rPr>
              <w:t xml:space="preserve"> de interés en el marco de PMNC Fuente</w:t>
            </w:r>
            <w:r w:rsidR="0012552E" w:rsidRPr="00960C84">
              <w:rPr>
                <w:rFonts w:ascii="Times New Roman" w:hAnsi="Times New Roman" w:cs="Times New Roman"/>
                <w:sz w:val="20"/>
                <w:szCs w:val="20"/>
              </w:rPr>
              <w:t>: Elaboración de los autores con datos de la FED.</w:t>
            </w:r>
          </w:p>
          <w:p w14:paraId="5E4D1F01" w14:textId="247C1407" w:rsidR="0012552E" w:rsidRPr="00960C84" w:rsidRDefault="0012552E" w:rsidP="00960C84">
            <w:pPr>
              <w:jc w:val="both"/>
              <w:rPr>
                <w:rFonts w:ascii="Times New Roman" w:hAnsi="Times New Roman" w:cs="Times New Roman"/>
                <w:sz w:val="20"/>
                <w:szCs w:val="20"/>
              </w:rPr>
            </w:pPr>
          </w:p>
        </w:tc>
      </w:tr>
    </w:tbl>
    <w:p w14:paraId="7B612D67" w14:textId="77777777" w:rsidR="00DB2752" w:rsidRDefault="00DB2752" w:rsidP="00382112">
      <w:pPr>
        <w:spacing w:after="0" w:line="360" w:lineRule="auto"/>
        <w:jc w:val="both"/>
        <w:rPr>
          <w:rFonts w:ascii="Times New Roman" w:hAnsi="Times New Roman" w:cs="Times New Roman"/>
          <w:sz w:val="24"/>
          <w:szCs w:val="24"/>
        </w:rPr>
      </w:pPr>
    </w:p>
    <w:p w14:paraId="75E01B73" w14:textId="37B3C7D8" w:rsidR="00CB79EA" w:rsidRDefault="000D5247" w:rsidP="001960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efecto, l</w:t>
      </w:r>
      <w:r w:rsidR="00A0322E">
        <w:rPr>
          <w:rFonts w:ascii="Times New Roman" w:hAnsi="Times New Roman" w:cs="Times New Roman"/>
          <w:sz w:val="24"/>
          <w:szCs w:val="24"/>
        </w:rPr>
        <w:t xml:space="preserve">a </w:t>
      </w:r>
      <w:r w:rsidR="006D4C09">
        <w:rPr>
          <w:rFonts w:ascii="Times New Roman" w:hAnsi="Times New Roman" w:cs="Times New Roman"/>
          <w:sz w:val="24"/>
          <w:szCs w:val="24"/>
        </w:rPr>
        <w:t xml:space="preserve">conjugación </w:t>
      </w:r>
      <w:r w:rsidR="00A0322E">
        <w:rPr>
          <w:rFonts w:ascii="Times New Roman" w:hAnsi="Times New Roman" w:cs="Times New Roman"/>
          <w:sz w:val="24"/>
          <w:szCs w:val="24"/>
        </w:rPr>
        <w:t>de</w:t>
      </w:r>
      <w:r w:rsidR="00C127E8">
        <w:rPr>
          <w:rFonts w:ascii="Times New Roman" w:hAnsi="Times New Roman" w:cs="Times New Roman"/>
          <w:sz w:val="24"/>
          <w:szCs w:val="24"/>
        </w:rPr>
        <w:t xml:space="preserve">l lento </w:t>
      </w:r>
      <w:r w:rsidR="00717D33">
        <w:rPr>
          <w:rFonts w:ascii="Times New Roman" w:hAnsi="Times New Roman" w:cs="Times New Roman"/>
          <w:sz w:val="24"/>
          <w:szCs w:val="24"/>
        </w:rPr>
        <w:t xml:space="preserve">crecimiento </w:t>
      </w:r>
      <w:r>
        <w:rPr>
          <w:rFonts w:ascii="Times New Roman" w:hAnsi="Times New Roman" w:cs="Times New Roman"/>
          <w:sz w:val="24"/>
          <w:szCs w:val="24"/>
        </w:rPr>
        <w:t>de los precios</w:t>
      </w:r>
      <w:r w:rsidR="00A0322E">
        <w:rPr>
          <w:rFonts w:ascii="Times New Roman" w:hAnsi="Times New Roman" w:cs="Times New Roman"/>
          <w:sz w:val="24"/>
          <w:szCs w:val="24"/>
        </w:rPr>
        <w:t>, el control</w:t>
      </w:r>
      <w:r w:rsidR="00C127E8">
        <w:rPr>
          <w:rFonts w:ascii="Times New Roman" w:hAnsi="Times New Roman" w:cs="Times New Roman"/>
          <w:sz w:val="24"/>
          <w:szCs w:val="24"/>
        </w:rPr>
        <w:t xml:space="preserve"> </w:t>
      </w:r>
      <w:r w:rsidR="0055512B">
        <w:rPr>
          <w:rFonts w:ascii="Times New Roman" w:hAnsi="Times New Roman" w:cs="Times New Roman"/>
          <w:sz w:val="24"/>
          <w:szCs w:val="24"/>
        </w:rPr>
        <w:t xml:space="preserve">a la baja </w:t>
      </w:r>
      <w:r w:rsidR="00C127E8">
        <w:rPr>
          <w:rFonts w:ascii="Times New Roman" w:hAnsi="Times New Roman" w:cs="Times New Roman"/>
          <w:sz w:val="24"/>
          <w:szCs w:val="24"/>
        </w:rPr>
        <w:t>de la tasa de interés de referencia</w:t>
      </w:r>
      <w:r w:rsidR="006D4C09">
        <w:rPr>
          <w:rFonts w:ascii="Times New Roman" w:hAnsi="Times New Roman" w:cs="Times New Roman"/>
          <w:sz w:val="24"/>
          <w:szCs w:val="24"/>
        </w:rPr>
        <w:t xml:space="preserve"> (</w:t>
      </w:r>
      <w:r w:rsidR="0055512B">
        <w:rPr>
          <w:rFonts w:ascii="Times New Roman" w:hAnsi="Times New Roman" w:cs="Times New Roman"/>
          <w:sz w:val="24"/>
          <w:szCs w:val="24"/>
        </w:rPr>
        <w:t>por la vía cuantit</w:t>
      </w:r>
      <w:r w:rsidR="006D4C09">
        <w:rPr>
          <w:rFonts w:ascii="Times New Roman" w:hAnsi="Times New Roman" w:cs="Times New Roman"/>
          <w:sz w:val="24"/>
          <w:szCs w:val="24"/>
        </w:rPr>
        <w:t>a</w:t>
      </w:r>
      <w:r w:rsidR="0055512B">
        <w:rPr>
          <w:rFonts w:ascii="Times New Roman" w:hAnsi="Times New Roman" w:cs="Times New Roman"/>
          <w:sz w:val="24"/>
          <w:szCs w:val="24"/>
        </w:rPr>
        <w:t>tiva</w:t>
      </w:r>
      <w:r w:rsidR="006D4C09">
        <w:rPr>
          <w:rFonts w:ascii="Times New Roman" w:hAnsi="Times New Roman" w:cs="Times New Roman"/>
          <w:sz w:val="24"/>
          <w:szCs w:val="24"/>
        </w:rPr>
        <w:t>)</w:t>
      </w:r>
      <w:r w:rsidR="00C127E8">
        <w:rPr>
          <w:rFonts w:ascii="Times New Roman" w:hAnsi="Times New Roman" w:cs="Times New Roman"/>
          <w:sz w:val="24"/>
          <w:szCs w:val="24"/>
        </w:rPr>
        <w:t xml:space="preserve"> y, en general, el relajamiento cuantitativo</w:t>
      </w:r>
      <w:r w:rsidR="001D059E">
        <w:rPr>
          <w:rFonts w:ascii="Times New Roman" w:hAnsi="Times New Roman" w:cs="Times New Roman"/>
          <w:sz w:val="24"/>
          <w:szCs w:val="24"/>
        </w:rPr>
        <w:t>, implementado por el Banco de la Reserva Federal de</w:t>
      </w:r>
      <w:r w:rsidR="00DE7C3D">
        <w:rPr>
          <w:rFonts w:ascii="Times New Roman" w:hAnsi="Times New Roman" w:cs="Times New Roman"/>
          <w:sz w:val="24"/>
          <w:szCs w:val="24"/>
        </w:rPr>
        <w:t>sde 2009</w:t>
      </w:r>
      <w:r w:rsidR="001D059E">
        <w:rPr>
          <w:rFonts w:ascii="Times New Roman" w:hAnsi="Times New Roman" w:cs="Times New Roman"/>
          <w:sz w:val="24"/>
          <w:szCs w:val="24"/>
        </w:rPr>
        <w:t xml:space="preserve">, </w:t>
      </w:r>
      <w:r>
        <w:rPr>
          <w:rFonts w:ascii="Times New Roman" w:hAnsi="Times New Roman" w:cs="Times New Roman"/>
          <w:sz w:val="24"/>
          <w:szCs w:val="24"/>
        </w:rPr>
        <w:t>representan la exegesis del</w:t>
      </w:r>
      <w:r w:rsidR="001D059E">
        <w:rPr>
          <w:rFonts w:ascii="Times New Roman" w:hAnsi="Times New Roman" w:cs="Times New Roman"/>
          <w:sz w:val="24"/>
          <w:szCs w:val="24"/>
        </w:rPr>
        <w:t xml:space="preserve"> ajuste </w:t>
      </w:r>
      <w:r w:rsidR="00717D33">
        <w:rPr>
          <w:rFonts w:ascii="Times New Roman" w:hAnsi="Times New Roman" w:cs="Times New Roman"/>
          <w:sz w:val="24"/>
          <w:szCs w:val="24"/>
        </w:rPr>
        <w:t xml:space="preserve">gradual </w:t>
      </w:r>
      <w:r w:rsidR="001D059E">
        <w:rPr>
          <w:rFonts w:ascii="Times New Roman" w:hAnsi="Times New Roman" w:cs="Times New Roman"/>
          <w:sz w:val="24"/>
          <w:szCs w:val="24"/>
        </w:rPr>
        <w:t xml:space="preserve">de las tasas de interés de largo plazo, </w:t>
      </w:r>
      <w:r>
        <w:rPr>
          <w:rFonts w:ascii="Times New Roman" w:hAnsi="Times New Roman" w:cs="Times New Roman"/>
          <w:sz w:val="24"/>
          <w:szCs w:val="24"/>
        </w:rPr>
        <w:t xml:space="preserve">condición que ha </w:t>
      </w:r>
      <w:r w:rsidR="00717D33">
        <w:rPr>
          <w:rFonts w:ascii="Times New Roman" w:hAnsi="Times New Roman" w:cs="Times New Roman"/>
          <w:sz w:val="24"/>
          <w:szCs w:val="24"/>
        </w:rPr>
        <w:t xml:space="preserve">cerrado </w:t>
      </w:r>
      <w:r>
        <w:rPr>
          <w:rFonts w:ascii="Times New Roman" w:hAnsi="Times New Roman" w:cs="Times New Roman"/>
          <w:sz w:val="24"/>
          <w:szCs w:val="24"/>
        </w:rPr>
        <w:t xml:space="preserve">significativamente </w:t>
      </w:r>
      <w:r w:rsidR="00DE7C3D">
        <w:rPr>
          <w:rFonts w:ascii="Times New Roman" w:hAnsi="Times New Roman" w:cs="Times New Roman"/>
          <w:sz w:val="24"/>
          <w:szCs w:val="24"/>
        </w:rPr>
        <w:t xml:space="preserve">la brecha entre los rendimientos </w:t>
      </w:r>
      <w:r w:rsidR="00FE52B6">
        <w:rPr>
          <w:rFonts w:ascii="Times New Roman" w:hAnsi="Times New Roman" w:cs="Times New Roman"/>
          <w:sz w:val="24"/>
          <w:szCs w:val="24"/>
        </w:rPr>
        <w:t xml:space="preserve">de corto </w:t>
      </w:r>
      <w:r w:rsidR="00DE7C3D">
        <w:rPr>
          <w:rFonts w:ascii="Times New Roman" w:hAnsi="Times New Roman" w:cs="Times New Roman"/>
          <w:sz w:val="24"/>
          <w:szCs w:val="24"/>
        </w:rPr>
        <w:t xml:space="preserve">y </w:t>
      </w:r>
      <w:r w:rsidR="00FE52B6">
        <w:rPr>
          <w:rFonts w:ascii="Times New Roman" w:hAnsi="Times New Roman" w:cs="Times New Roman"/>
          <w:sz w:val="24"/>
          <w:szCs w:val="24"/>
        </w:rPr>
        <w:t>largo plazo</w:t>
      </w:r>
      <w:r w:rsidR="00CB79EA">
        <w:rPr>
          <w:rFonts w:ascii="Times New Roman" w:hAnsi="Times New Roman" w:cs="Times New Roman"/>
          <w:sz w:val="24"/>
          <w:szCs w:val="24"/>
        </w:rPr>
        <w:t xml:space="preserve">; con ello, un proceso de </w:t>
      </w:r>
      <w:r w:rsidR="0019604F">
        <w:rPr>
          <w:rFonts w:ascii="Times New Roman" w:hAnsi="Times New Roman" w:cs="Times New Roman"/>
          <w:sz w:val="24"/>
          <w:szCs w:val="24"/>
        </w:rPr>
        <w:t xml:space="preserve">reconfiguración de </w:t>
      </w:r>
      <w:r w:rsidR="00CB79EA">
        <w:rPr>
          <w:rFonts w:ascii="Times New Roman" w:hAnsi="Times New Roman" w:cs="Times New Roman"/>
          <w:sz w:val="24"/>
          <w:szCs w:val="24"/>
        </w:rPr>
        <w:t>la  estructura de los portafolios de inversión y l</w:t>
      </w:r>
      <w:r w:rsidR="0019604F">
        <w:rPr>
          <w:rFonts w:ascii="Times New Roman" w:hAnsi="Times New Roman" w:cs="Times New Roman"/>
          <w:sz w:val="24"/>
          <w:szCs w:val="24"/>
        </w:rPr>
        <w:t xml:space="preserve">os </w:t>
      </w:r>
      <w:r w:rsidR="00CB79EA">
        <w:rPr>
          <w:rFonts w:ascii="Times New Roman" w:hAnsi="Times New Roman" w:cs="Times New Roman"/>
          <w:sz w:val="24"/>
          <w:szCs w:val="24"/>
        </w:rPr>
        <w:t>rendimientos de estos</w:t>
      </w:r>
      <w:r w:rsidR="0019604F">
        <w:rPr>
          <w:rFonts w:ascii="Times New Roman" w:hAnsi="Times New Roman" w:cs="Times New Roman"/>
          <w:sz w:val="24"/>
          <w:szCs w:val="24"/>
        </w:rPr>
        <w:t xml:space="preserve">, creando un entorno de alto endeudamiento y sobrevaloración de activos. </w:t>
      </w:r>
    </w:p>
    <w:p w14:paraId="26CA2779" w14:textId="7E9A6A02" w:rsidR="00EB261D" w:rsidRDefault="0019604F" w:rsidP="009758E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Hay que acotar que </w:t>
      </w:r>
      <w:r w:rsidR="00717D33">
        <w:rPr>
          <w:rFonts w:ascii="Times New Roman" w:hAnsi="Times New Roman" w:cs="Times New Roman"/>
          <w:sz w:val="24"/>
          <w:szCs w:val="24"/>
        </w:rPr>
        <w:t xml:space="preserve">las perspectivas de rápida recuperación </w:t>
      </w:r>
      <w:r w:rsidR="006D4C09">
        <w:rPr>
          <w:rFonts w:ascii="Times New Roman" w:hAnsi="Times New Roman" w:cs="Times New Roman"/>
          <w:sz w:val="24"/>
          <w:szCs w:val="24"/>
        </w:rPr>
        <w:t xml:space="preserve">de la actividad </w:t>
      </w:r>
      <w:r w:rsidR="00717D33">
        <w:rPr>
          <w:rFonts w:ascii="Times New Roman" w:hAnsi="Times New Roman" w:cs="Times New Roman"/>
          <w:sz w:val="24"/>
          <w:szCs w:val="24"/>
        </w:rPr>
        <w:t>económica</w:t>
      </w:r>
      <w:r w:rsidR="00B76474">
        <w:rPr>
          <w:rFonts w:ascii="Times New Roman" w:hAnsi="Times New Roman" w:cs="Times New Roman"/>
          <w:sz w:val="24"/>
          <w:szCs w:val="24"/>
        </w:rPr>
        <w:t xml:space="preserve">, </w:t>
      </w:r>
      <w:r w:rsidR="000D5247">
        <w:rPr>
          <w:rFonts w:ascii="Times New Roman" w:hAnsi="Times New Roman" w:cs="Times New Roman"/>
          <w:sz w:val="24"/>
          <w:szCs w:val="24"/>
        </w:rPr>
        <w:t xml:space="preserve">el aumento de </w:t>
      </w:r>
      <w:r w:rsidR="00B76474">
        <w:rPr>
          <w:rFonts w:ascii="Times New Roman" w:hAnsi="Times New Roman" w:cs="Times New Roman"/>
          <w:sz w:val="24"/>
          <w:szCs w:val="24"/>
        </w:rPr>
        <w:t>la</w:t>
      </w:r>
      <w:r w:rsidR="000D5247">
        <w:rPr>
          <w:rFonts w:ascii="Times New Roman" w:hAnsi="Times New Roman" w:cs="Times New Roman"/>
          <w:sz w:val="24"/>
          <w:szCs w:val="24"/>
        </w:rPr>
        <w:t>s</w:t>
      </w:r>
      <w:r w:rsidR="00B76474">
        <w:rPr>
          <w:rFonts w:ascii="Times New Roman" w:hAnsi="Times New Roman" w:cs="Times New Roman"/>
          <w:sz w:val="24"/>
          <w:szCs w:val="24"/>
        </w:rPr>
        <w:t xml:space="preserve"> expectativa</w:t>
      </w:r>
      <w:r w:rsidR="000D5247">
        <w:rPr>
          <w:rFonts w:ascii="Times New Roman" w:hAnsi="Times New Roman" w:cs="Times New Roman"/>
          <w:sz w:val="24"/>
          <w:szCs w:val="24"/>
        </w:rPr>
        <w:t>s</w:t>
      </w:r>
      <w:r w:rsidR="00B76474">
        <w:rPr>
          <w:rFonts w:ascii="Times New Roman" w:hAnsi="Times New Roman" w:cs="Times New Roman"/>
          <w:sz w:val="24"/>
          <w:szCs w:val="24"/>
        </w:rPr>
        <w:t xml:space="preserve"> </w:t>
      </w:r>
      <w:r w:rsidR="000D5247">
        <w:rPr>
          <w:rFonts w:ascii="Times New Roman" w:hAnsi="Times New Roman" w:cs="Times New Roman"/>
          <w:sz w:val="24"/>
          <w:szCs w:val="24"/>
        </w:rPr>
        <w:t xml:space="preserve">inflacionarias </w:t>
      </w:r>
      <w:r w:rsidR="00B76474">
        <w:rPr>
          <w:rFonts w:ascii="Times New Roman" w:hAnsi="Times New Roman" w:cs="Times New Roman"/>
          <w:sz w:val="24"/>
          <w:szCs w:val="24"/>
        </w:rPr>
        <w:t xml:space="preserve">y el paquete fiscal proyectado </w:t>
      </w:r>
      <w:r>
        <w:rPr>
          <w:rFonts w:ascii="Times New Roman" w:hAnsi="Times New Roman" w:cs="Times New Roman"/>
          <w:sz w:val="24"/>
          <w:szCs w:val="24"/>
        </w:rPr>
        <w:t xml:space="preserve">por </w:t>
      </w:r>
      <w:r w:rsidR="00B76474">
        <w:rPr>
          <w:rFonts w:ascii="Times New Roman" w:hAnsi="Times New Roman" w:cs="Times New Roman"/>
          <w:sz w:val="24"/>
          <w:szCs w:val="24"/>
        </w:rPr>
        <w:t xml:space="preserve">el Departamento del </w:t>
      </w:r>
      <w:r w:rsidR="000D5247">
        <w:rPr>
          <w:rFonts w:ascii="Times New Roman" w:hAnsi="Times New Roman" w:cs="Times New Roman"/>
          <w:sz w:val="24"/>
          <w:szCs w:val="24"/>
        </w:rPr>
        <w:t>Tesoro, han inducido un al</w:t>
      </w:r>
      <w:r w:rsidR="00B76474">
        <w:rPr>
          <w:rFonts w:ascii="Times New Roman" w:hAnsi="Times New Roman" w:cs="Times New Roman"/>
          <w:sz w:val="24"/>
          <w:szCs w:val="24"/>
        </w:rPr>
        <w:t xml:space="preserve">za </w:t>
      </w:r>
      <w:r w:rsidR="000D5247">
        <w:rPr>
          <w:rFonts w:ascii="Times New Roman" w:hAnsi="Times New Roman" w:cs="Times New Roman"/>
          <w:sz w:val="24"/>
          <w:szCs w:val="24"/>
        </w:rPr>
        <w:t>en los rendimientos</w:t>
      </w:r>
      <w:r w:rsidR="006D4C09">
        <w:rPr>
          <w:rFonts w:ascii="Times New Roman" w:hAnsi="Times New Roman" w:cs="Times New Roman"/>
          <w:sz w:val="24"/>
          <w:szCs w:val="24"/>
        </w:rPr>
        <w:t xml:space="preserve"> de los títulos </w:t>
      </w:r>
      <w:r w:rsidR="000D5247">
        <w:rPr>
          <w:rFonts w:ascii="Times New Roman" w:hAnsi="Times New Roman" w:cs="Times New Roman"/>
          <w:sz w:val="24"/>
          <w:szCs w:val="24"/>
        </w:rPr>
        <w:t xml:space="preserve">gubernamentales </w:t>
      </w:r>
      <w:r w:rsidR="006D4C09">
        <w:rPr>
          <w:rFonts w:ascii="Times New Roman" w:hAnsi="Times New Roman" w:cs="Times New Roman"/>
          <w:sz w:val="24"/>
          <w:szCs w:val="24"/>
        </w:rPr>
        <w:t>de largo plazo</w:t>
      </w:r>
      <w:r w:rsidR="000D5247">
        <w:rPr>
          <w:rFonts w:ascii="Times New Roman" w:hAnsi="Times New Roman" w:cs="Times New Roman"/>
          <w:sz w:val="24"/>
          <w:szCs w:val="24"/>
        </w:rPr>
        <w:t xml:space="preserve"> (5, 10 y 30 años)</w:t>
      </w:r>
      <w:r>
        <w:rPr>
          <w:rFonts w:ascii="Times New Roman" w:hAnsi="Times New Roman" w:cs="Times New Roman"/>
          <w:sz w:val="24"/>
          <w:szCs w:val="24"/>
        </w:rPr>
        <w:t>, lo cual ha desacelerado la dinámica de los mercados bursátiles.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3"/>
        <w:gridCol w:w="4405"/>
      </w:tblGrid>
      <w:tr w:rsidR="00DB2752" w14:paraId="42F2BDFD" w14:textId="77777777" w:rsidTr="000D5247">
        <w:tc>
          <w:tcPr>
            <w:tcW w:w="4433" w:type="dxa"/>
          </w:tcPr>
          <w:p w14:paraId="30CAD8A0" w14:textId="1A9FF8D0" w:rsidR="0012552E" w:rsidRPr="0012552E" w:rsidRDefault="00DB2752" w:rsidP="0012552E">
            <w:pPr>
              <w:jc w:val="both"/>
              <w:rPr>
                <w:noProof/>
              </w:rPr>
            </w:pPr>
            <w:r>
              <w:rPr>
                <w:noProof/>
              </w:rPr>
              <w:drawing>
                <wp:inline distT="0" distB="0" distL="0" distR="0" wp14:anchorId="2CE27A5D" wp14:editId="028B0FD6">
                  <wp:extent cx="2776220" cy="1472970"/>
                  <wp:effectExtent l="0" t="0" r="5080" b="0"/>
                  <wp:docPr id="12" name="Gráfico 12">
                    <a:extLst xmlns:a="http://schemas.openxmlformats.org/drawingml/2006/main">
                      <a:ext uri="{FF2B5EF4-FFF2-40B4-BE49-F238E27FC236}">
                        <a16:creationId xmlns:a16="http://schemas.microsoft.com/office/drawing/2014/main" id="{BA283BCE-6FE0-47AB-A07D-E6285C0373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12552E">
              <w:rPr>
                <w:rFonts w:ascii="Times New Roman" w:hAnsi="Times New Roman" w:cs="Times New Roman"/>
                <w:sz w:val="16"/>
                <w:szCs w:val="16"/>
              </w:rPr>
              <w:t xml:space="preserve"> </w:t>
            </w:r>
          </w:p>
        </w:tc>
        <w:tc>
          <w:tcPr>
            <w:tcW w:w="4405" w:type="dxa"/>
          </w:tcPr>
          <w:p w14:paraId="3793FA36" w14:textId="062633AE" w:rsidR="00DB2752" w:rsidRPr="0012552E" w:rsidRDefault="0034629A" w:rsidP="0012552E">
            <w:pPr>
              <w:spacing w:line="360" w:lineRule="auto"/>
              <w:jc w:val="both"/>
              <w:rPr>
                <w:noProof/>
              </w:rPr>
            </w:pPr>
            <w:r>
              <w:rPr>
                <w:noProof/>
              </w:rPr>
              <w:drawing>
                <wp:inline distT="0" distB="0" distL="0" distR="0" wp14:anchorId="1473556B" wp14:editId="7900F7B7">
                  <wp:extent cx="2759710" cy="1456419"/>
                  <wp:effectExtent l="0" t="0" r="2540" b="0"/>
                  <wp:docPr id="13" name="Gráfico 13">
                    <a:extLst xmlns:a="http://schemas.openxmlformats.org/drawingml/2006/main">
                      <a:ext uri="{FF2B5EF4-FFF2-40B4-BE49-F238E27FC236}">
                        <a16:creationId xmlns:a16="http://schemas.microsoft.com/office/drawing/2014/main" id="{BB014E04-8787-4B13-929E-0252580CA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12552E" w14:paraId="2D348409" w14:textId="77777777" w:rsidTr="000D5247">
        <w:tc>
          <w:tcPr>
            <w:tcW w:w="4433" w:type="dxa"/>
          </w:tcPr>
          <w:p w14:paraId="094C2F55" w14:textId="108FE7BD" w:rsidR="00F9083E" w:rsidRDefault="00F9083E" w:rsidP="00F9083E">
            <w:pPr>
              <w:jc w:val="both"/>
              <w:rPr>
                <w:rFonts w:ascii="Times New Roman" w:hAnsi="Times New Roman" w:cs="Times New Roman"/>
                <w:sz w:val="20"/>
                <w:szCs w:val="20"/>
              </w:rPr>
            </w:pPr>
            <w:r w:rsidRPr="00F9083E">
              <w:rPr>
                <w:rFonts w:ascii="Times New Roman" w:hAnsi="Times New Roman" w:cs="Times New Roman"/>
                <w:sz w:val="20"/>
                <w:szCs w:val="20"/>
              </w:rPr>
              <w:t>Figura 3. E</w:t>
            </w:r>
            <w:r>
              <w:rPr>
                <w:rFonts w:ascii="Times New Roman" w:hAnsi="Times New Roman" w:cs="Times New Roman"/>
                <w:sz w:val="20"/>
                <w:szCs w:val="20"/>
              </w:rPr>
              <w:t xml:space="preserve">fecto </w:t>
            </w:r>
            <w:r w:rsidRPr="00F9083E">
              <w:rPr>
                <w:rFonts w:ascii="Times New Roman" w:hAnsi="Times New Roman" w:cs="Times New Roman"/>
                <w:sz w:val="20"/>
                <w:szCs w:val="20"/>
              </w:rPr>
              <w:t>de la deuda en el mercado bursátil</w:t>
            </w:r>
          </w:p>
          <w:p w14:paraId="52FA265F" w14:textId="65911129" w:rsidR="0012552E" w:rsidRPr="00F9083E" w:rsidRDefault="0012552E" w:rsidP="00F9083E">
            <w:pPr>
              <w:jc w:val="both"/>
              <w:rPr>
                <w:rFonts w:ascii="Times New Roman" w:hAnsi="Times New Roman" w:cs="Times New Roman"/>
                <w:sz w:val="20"/>
                <w:szCs w:val="20"/>
              </w:rPr>
            </w:pPr>
            <w:r w:rsidRPr="00F9083E">
              <w:rPr>
                <w:rFonts w:ascii="Times New Roman" w:hAnsi="Times New Roman" w:cs="Times New Roman"/>
                <w:sz w:val="20"/>
                <w:szCs w:val="20"/>
              </w:rPr>
              <w:t>Fuente: Elaboración de los autores con datos de la FED.</w:t>
            </w:r>
          </w:p>
          <w:p w14:paraId="54C38BA5" w14:textId="73C19C2B" w:rsidR="0012552E" w:rsidRPr="00F9083E" w:rsidRDefault="0012552E" w:rsidP="00F9083E">
            <w:pPr>
              <w:jc w:val="both"/>
              <w:rPr>
                <w:noProof/>
                <w:sz w:val="20"/>
                <w:szCs w:val="20"/>
              </w:rPr>
            </w:pPr>
          </w:p>
        </w:tc>
        <w:tc>
          <w:tcPr>
            <w:tcW w:w="4405" w:type="dxa"/>
          </w:tcPr>
          <w:p w14:paraId="77A52A19" w14:textId="67A57649" w:rsidR="00F9083E" w:rsidRDefault="00F9083E" w:rsidP="00F9083E">
            <w:pPr>
              <w:jc w:val="both"/>
              <w:rPr>
                <w:rFonts w:ascii="Times New Roman" w:hAnsi="Times New Roman" w:cs="Times New Roman"/>
                <w:sz w:val="20"/>
                <w:szCs w:val="20"/>
              </w:rPr>
            </w:pPr>
            <w:r w:rsidRPr="00F9083E">
              <w:rPr>
                <w:rFonts w:ascii="Times New Roman" w:hAnsi="Times New Roman" w:cs="Times New Roman"/>
                <w:sz w:val="20"/>
                <w:szCs w:val="20"/>
              </w:rPr>
              <w:t xml:space="preserve">Figura 4. Ajuste de la inflación y la </w:t>
            </w:r>
            <w:r>
              <w:rPr>
                <w:rFonts w:ascii="Times New Roman" w:hAnsi="Times New Roman" w:cs="Times New Roman"/>
                <w:sz w:val="20"/>
                <w:szCs w:val="20"/>
              </w:rPr>
              <w:t>PMNC</w:t>
            </w:r>
            <w:r w:rsidRPr="00F9083E">
              <w:rPr>
                <w:rFonts w:ascii="Times New Roman" w:hAnsi="Times New Roman" w:cs="Times New Roman"/>
                <w:sz w:val="20"/>
                <w:szCs w:val="20"/>
              </w:rPr>
              <w:t xml:space="preserve">  </w:t>
            </w:r>
          </w:p>
          <w:p w14:paraId="21087F3B" w14:textId="5249E363" w:rsidR="0012552E" w:rsidRPr="00F9083E" w:rsidRDefault="0012552E" w:rsidP="00F9083E">
            <w:pPr>
              <w:jc w:val="both"/>
              <w:rPr>
                <w:rFonts w:ascii="Times New Roman" w:hAnsi="Times New Roman" w:cs="Times New Roman"/>
                <w:sz w:val="20"/>
                <w:szCs w:val="20"/>
              </w:rPr>
            </w:pPr>
            <w:r w:rsidRPr="00F9083E">
              <w:rPr>
                <w:rFonts w:ascii="Times New Roman" w:hAnsi="Times New Roman" w:cs="Times New Roman"/>
                <w:sz w:val="20"/>
                <w:szCs w:val="20"/>
              </w:rPr>
              <w:t>Fuente: Elaboración de los autores con datos de la FED.</w:t>
            </w:r>
          </w:p>
          <w:p w14:paraId="6CD11C38" w14:textId="5AC4FDCF" w:rsidR="0012552E" w:rsidRPr="00F9083E" w:rsidRDefault="0012552E" w:rsidP="00F9083E">
            <w:pPr>
              <w:jc w:val="both"/>
              <w:rPr>
                <w:noProof/>
                <w:sz w:val="20"/>
                <w:szCs w:val="20"/>
              </w:rPr>
            </w:pPr>
          </w:p>
        </w:tc>
      </w:tr>
    </w:tbl>
    <w:p w14:paraId="30B6C880" w14:textId="1E2B0AE5" w:rsidR="006F29B3" w:rsidRPr="0055512B" w:rsidRDefault="006F29B3" w:rsidP="00382112">
      <w:pPr>
        <w:spacing w:after="0" w:line="360" w:lineRule="auto"/>
        <w:jc w:val="both"/>
        <w:rPr>
          <w:rFonts w:ascii="Times New Roman" w:hAnsi="Times New Roman" w:cs="Times New Roman"/>
          <w:sz w:val="24"/>
          <w:szCs w:val="24"/>
        </w:rPr>
      </w:pPr>
    </w:p>
    <w:p w14:paraId="6463258C" w14:textId="4065EDD5" w:rsidR="002D6D0C" w:rsidRPr="0055512B" w:rsidRDefault="002D6D0C" w:rsidP="009758E6">
      <w:pPr>
        <w:spacing w:after="0" w:line="360" w:lineRule="auto"/>
        <w:ind w:firstLine="708"/>
        <w:jc w:val="both"/>
        <w:rPr>
          <w:rFonts w:ascii="Times New Roman" w:hAnsi="Times New Roman" w:cs="Times New Roman"/>
          <w:sz w:val="24"/>
          <w:szCs w:val="24"/>
        </w:rPr>
      </w:pPr>
      <w:r w:rsidRPr="0055512B">
        <w:rPr>
          <w:rFonts w:ascii="Times New Roman" w:hAnsi="Times New Roman" w:cs="Times New Roman"/>
          <w:sz w:val="24"/>
          <w:szCs w:val="24"/>
        </w:rPr>
        <w:t>En cuanto a la respuesta del mercado bursátil</w:t>
      </w:r>
      <w:r w:rsidR="00A03864">
        <w:rPr>
          <w:rFonts w:ascii="Times New Roman" w:hAnsi="Times New Roman" w:cs="Times New Roman"/>
          <w:sz w:val="24"/>
          <w:szCs w:val="24"/>
        </w:rPr>
        <w:t>,</w:t>
      </w:r>
      <w:r w:rsidRPr="0055512B">
        <w:rPr>
          <w:rFonts w:ascii="Times New Roman" w:hAnsi="Times New Roman" w:cs="Times New Roman"/>
          <w:sz w:val="24"/>
          <w:szCs w:val="24"/>
        </w:rPr>
        <w:t xml:space="preserve"> ante la expansión de la deuda (hoja de balance), </w:t>
      </w:r>
      <w:r w:rsidR="00E15A37" w:rsidRPr="0055512B">
        <w:rPr>
          <w:rFonts w:ascii="Times New Roman" w:hAnsi="Times New Roman" w:cs="Times New Roman"/>
          <w:sz w:val="24"/>
          <w:szCs w:val="24"/>
        </w:rPr>
        <w:t>los efectos han</w:t>
      </w:r>
      <w:r w:rsidRPr="0055512B">
        <w:rPr>
          <w:rFonts w:ascii="Times New Roman" w:hAnsi="Times New Roman" w:cs="Times New Roman"/>
          <w:sz w:val="24"/>
          <w:szCs w:val="24"/>
        </w:rPr>
        <w:t xml:space="preserve"> sido marcadamente positivos, ya que </w:t>
      </w:r>
      <w:r w:rsidR="002A2F9C">
        <w:rPr>
          <w:rFonts w:ascii="Times New Roman" w:hAnsi="Times New Roman" w:cs="Times New Roman"/>
          <w:sz w:val="24"/>
          <w:szCs w:val="24"/>
        </w:rPr>
        <w:t>al pie de</w:t>
      </w:r>
      <w:r w:rsidRPr="0055512B">
        <w:rPr>
          <w:rFonts w:ascii="Times New Roman" w:hAnsi="Times New Roman" w:cs="Times New Roman"/>
          <w:sz w:val="24"/>
          <w:szCs w:val="24"/>
        </w:rPr>
        <w:t xml:space="preserve"> </w:t>
      </w:r>
      <w:r w:rsidR="00A03864">
        <w:rPr>
          <w:rFonts w:ascii="Times New Roman" w:hAnsi="Times New Roman" w:cs="Times New Roman"/>
          <w:sz w:val="24"/>
          <w:szCs w:val="24"/>
        </w:rPr>
        <w:t>l</w:t>
      </w:r>
      <w:r w:rsidRPr="0055512B">
        <w:rPr>
          <w:rFonts w:ascii="Times New Roman" w:hAnsi="Times New Roman" w:cs="Times New Roman"/>
          <w:sz w:val="24"/>
          <w:szCs w:val="24"/>
        </w:rPr>
        <w:t xml:space="preserve">a fase de flexibilización cuantitativa el mercado de valores </w:t>
      </w:r>
      <w:r w:rsidR="00E15A37" w:rsidRPr="0055512B">
        <w:rPr>
          <w:rFonts w:ascii="Times New Roman" w:hAnsi="Times New Roman" w:cs="Times New Roman"/>
          <w:sz w:val="24"/>
          <w:szCs w:val="24"/>
        </w:rPr>
        <w:t xml:space="preserve">ha </w:t>
      </w:r>
      <w:r w:rsidRPr="0055512B">
        <w:rPr>
          <w:rFonts w:ascii="Times New Roman" w:hAnsi="Times New Roman" w:cs="Times New Roman"/>
          <w:sz w:val="24"/>
          <w:szCs w:val="24"/>
        </w:rPr>
        <w:t xml:space="preserve">logrado capitalizar </w:t>
      </w:r>
      <w:r w:rsidR="00A03864">
        <w:rPr>
          <w:rFonts w:ascii="Times New Roman" w:hAnsi="Times New Roman" w:cs="Times New Roman"/>
          <w:sz w:val="24"/>
          <w:szCs w:val="24"/>
        </w:rPr>
        <w:t xml:space="preserve">de </w:t>
      </w:r>
      <w:r w:rsidR="002A2F9C">
        <w:rPr>
          <w:rFonts w:ascii="Times New Roman" w:hAnsi="Times New Roman" w:cs="Times New Roman"/>
          <w:sz w:val="24"/>
          <w:szCs w:val="24"/>
        </w:rPr>
        <w:t xml:space="preserve">forma </w:t>
      </w:r>
      <w:r w:rsidR="00A03864">
        <w:rPr>
          <w:rFonts w:ascii="Times New Roman" w:hAnsi="Times New Roman" w:cs="Times New Roman"/>
          <w:sz w:val="24"/>
          <w:szCs w:val="24"/>
        </w:rPr>
        <w:t xml:space="preserve">efectiva la </w:t>
      </w:r>
      <w:r w:rsidR="00E15A37" w:rsidRPr="0055512B">
        <w:rPr>
          <w:rFonts w:ascii="Times New Roman" w:hAnsi="Times New Roman" w:cs="Times New Roman"/>
          <w:sz w:val="24"/>
          <w:szCs w:val="24"/>
        </w:rPr>
        <w:t xml:space="preserve">inyección </w:t>
      </w:r>
      <w:r w:rsidR="007D7A18">
        <w:rPr>
          <w:rFonts w:ascii="Times New Roman" w:hAnsi="Times New Roman" w:cs="Times New Roman"/>
          <w:sz w:val="24"/>
          <w:szCs w:val="24"/>
        </w:rPr>
        <w:t xml:space="preserve">de </w:t>
      </w:r>
      <w:r w:rsidRPr="0055512B">
        <w:rPr>
          <w:rFonts w:ascii="Times New Roman" w:hAnsi="Times New Roman" w:cs="Times New Roman"/>
          <w:sz w:val="24"/>
          <w:szCs w:val="24"/>
        </w:rPr>
        <w:t>liquidez provista por la autoridad monetaria</w:t>
      </w:r>
      <w:r w:rsidR="00A03864">
        <w:rPr>
          <w:rFonts w:ascii="Times New Roman" w:hAnsi="Times New Roman" w:cs="Times New Roman"/>
          <w:sz w:val="24"/>
          <w:szCs w:val="24"/>
        </w:rPr>
        <w:t xml:space="preserve">. </w:t>
      </w:r>
      <w:r w:rsidR="002A2F9C">
        <w:rPr>
          <w:rFonts w:ascii="Times New Roman" w:hAnsi="Times New Roman" w:cs="Times New Roman"/>
          <w:sz w:val="24"/>
          <w:szCs w:val="24"/>
        </w:rPr>
        <w:t>Asimismo, l</w:t>
      </w:r>
      <w:r w:rsidR="00A03864">
        <w:rPr>
          <w:rFonts w:ascii="Times New Roman" w:hAnsi="Times New Roman" w:cs="Times New Roman"/>
          <w:sz w:val="24"/>
          <w:szCs w:val="24"/>
        </w:rPr>
        <w:t xml:space="preserve">a operación de la política monetaria no convencional </w:t>
      </w:r>
      <w:r w:rsidR="0046252A">
        <w:rPr>
          <w:rFonts w:ascii="Times New Roman" w:hAnsi="Times New Roman" w:cs="Times New Roman"/>
          <w:sz w:val="24"/>
          <w:szCs w:val="24"/>
        </w:rPr>
        <w:t>constituye un mecanismo de</w:t>
      </w:r>
      <w:r w:rsidR="00A03864">
        <w:rPr>
          <w:rFonts w:ascii="Times New Roman" w:hAnsi="Times New Roman" w:cs="Times New Roman"/>
          <w:sz w:val="24"/>
          <w:szCs w:val="24"/>
        </w:rPr>
        <w:t xml:space="preserve">l Banco de la Reserva Federal </w:t>
      </w:r>
      <w:r w:rsidR="0046252A">
        <w:rPr>
          <w:rFonts w:ascii="Times New Roman" w:hAnsi="Times New Roman" w:cs="Times New Roman"/>
          <w:sz w:val="24"/>
          <w:szCs w:val="24"/>
        </w:rPr>
        <w:t xml:space="preserve">para compensar </w:t>
      </w:r>
      <w:r w:rsidR="00A03864">
        <w:rPr>
          <w:rFonts w:ascii="Times New Roman" w:hAnsi="Times New Roman" w:cs="Times New Roman"/>
          <w:sz w:val="24"/>
          <w:szCs w:val="24"/>
        </w:rPr>
        <w:t>la desaceleración de los precios y, con ello, asegurar la consecución de la meta inflaci</w:t>
      </w:r>
      <w:r w:rsidR="0046252A">
        <w:rPr>
          <w:rFonts w:ascii="Times New Roman" w:hAnsi="Times New Roman" w:cs="Times New Roman"/>
          <w:sz w:val="24"/>
          <w:szCs w:val="24"/>
        </w:rPr>
        <w:t>onaria</w:t>
      </w:r>
      <w:r w:rsidR="00A03864">
        <w:rPr>
          <w:rFonts w:ascii="Times New Roman" w:hAnsi="Times New Roman" w:cs="Times New Roman"/>
          <w:sz w:val="24"/>
          <w:szCs w:val="24"/>
        </w:rPr>
        <w:t xml:space="preserve">. </w:t>
      </w:r>
    </w:p>
    <w:p w14:paraId="1963935F" w14:textId="7E9D89F7" w:rsidR="00427C3A" w:rsidRPr="0055512B" w:rsidRDefault="002D1F70" w:rsidP="00427C3A">
      <w:pPr>
        <w:spacing w:after="0" w:line="360" w:lineRule="auto"/>
        <w:rPr>
          <w:rFonts w:ascii="Times New Roman" w:hAnsi="Times New Roman" w:cs="Times New Roman"/>
          <w:b/>
          <w:bCs/>
          <w:sz w:val="24"/>
          <w:szCs w:val="24"/>
        </w:rPr>
      </w:pPr>
      <w:r w:rsidRPr="0055512B">
        <w:rPr>
          <w:rFonts w:ascii="Times New Roman" w:hAnsi="Times New Roman" w:cs="Times New Roman"/>
          <w:b/>
          <w:bCs/>
          <w:sz w:val="24"/>
          <w:szCs w:val="24"/>
        </w:rPr>
        <w:lastRenderedPageBreak/>
        <w:t xml:space="preserve">3.2 </w:t>
      </w:r>
      <w:r w:rsidR="00427C3A" w:rsidRPr="0055512B">
        <w:rPr>
          <w:rFonts w:ascii="Times New Roman" w:hAnsi="Times New Roman" w:cs="Times New Roman"/>
          <w:b/>
          <w:bCs/>
          <w:sz w:val="24"/>
          <w:szCs w:val="24"/>
        </w:rPr>
        <w:t xml:space="preserve">Un modelo dinámico de la regla monetaria. Aspectos metodológicos </w:t>
      </w:r>
    </w:p>
    <w:p w14:paraId="2D3D66A0" w14:textId="6B3DF90A" w:rsidR="0092537E" w:rsidRPr="00A2537C" w:rsidRDefault="009758E6" w:rsidP="00205F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Pretendemos </w:t>
      </w:r>
      <w:r w:rsidR="000C4B00" w:rsidRPr="0055512B">
        <w:rPr>
          <w:rFonts w:ascii="Times New Roman" w:hAnsi="Times New Roman" w:cs="Times New Roman"/>
          <w:sz w:val="24"/>
          <w:szCs w:val="24"/>
        </w:rPr>
        <w:t xml:space="preserve">comprobar </w:t>
      </w:r>
      <w:r>
        <w:rPr>
          <w:rFonts w:ascii="Times New Roman" w:hAnsi="Times New Roman" w:cs="Times New Roman"/>
          <w:sz w:val="24"/>
          <w:szCs w:val="24"/>
        </w:rPr>
        <w:t>e</w:t>
      </w:r>
      <w:r w:rsidRPr="0055512B">
        <w:rPr>
          <w:rFonts w:ascii="Times New Roman" w:hAnsi="Times New Roman" w:cs="Times New Roman"/>
          <w:sz w:val="24"/>
          <w:szCs w:val="24"/>
        </w:rPr>
        <w:t xml:space="preserve">mpíricamente </w:t>
      </w:r>
      <w:r w:rsidR="000C4B00" w:rsidRPr="0055512B">
        <w:rPr>
          <w:rFonts w:ascii="Times New Roman" w:hAnsi="Times New Roman" w:cs="Times New Roman"/>
          <w:sz w:val="24"/>
          <w:szCs w:val="24"/>
        </w:rPr>
        <w:t>que, en un régimen de política monetaria no convencional, un aumento de la deuda</w:t>
      </w:r>
      <w:r w:rsidR="000C4B00">
        <w:rPr>
          <w:rFonts w:ascii="Times New Roman" w:hAnsi="Times New Roman" w:cs="Times New Roman"/>
          <w:sz w:val="24"/>
          <w:szCs w:val="24"/>
        </w:rPr>
        <w:t xml:space="preserve"> y bajas tasas de interés (resultado de choques de oferta y/o demanda) </w:t>
      </w:r>
      <w:r w:rsidR="000C4B00">
        <w:rPr>
          <w:rFonts w:ascii="Times New Roman" w:hAnsi="Times New Roman"/>
          <w:sz w:val="24"/>
          <w:szCs w:val="24"/>
        </w:rPr>
        <w:t xml:space="preserve">genera mayor fragilidad económica y financiera. Con este fin, </w:t>
      </w:r>
      <w:r w:rsidR="00205F1B" w:rsidRPr="00A2537C">
        <w:rPr>
          <w:rFonts w:ascii="Times New Roman" w:hAnsi="Times New Roman"/>
          <w:sz w:val="24"/>
          <w:szCs w:val="24"/>
        </w:rPr>
        <w:t>empíricamente se especifican funciones de reacción para el producto, la inflación, la</w:t>
      </w:r>
      <w:r w:rsidR="00205F1B" w:rsidRPr="00A2537C">
        <w:rPr>
          <w:rFonts w:ascii="Times New Roman" w:hAnsi="Times New Roman" w:cs="Times New Roman"/>
          <w:sz w:val="24"/>
          <w:szCs w:val="24"/>
        </w:rPr>
        <w:t xml:space="preserve"> actividad bursátil </w:t>
      </w:r>
      <w:r w:rsidR="004D1A53" w:rsidRPr="00A2537C">
        <w:rPr>
          <w:rFonts w:ascii="Times New Roman" w:hAnsi="Times New Roman" w:cs="Times New Roman"/>
          <w:sz w:val="24"/>
          <w:szCs w:val="24"/>
        </w:rPr>
        <w:t xml:space="preserve">y </w:t>
      </w:r>
      <w:r w:rsidR="004D1A53" w:rsidRPr="00A2537C">
        <w:rPr>
          <w:rFonts w:ascii="Times New Roman" w:hAnsi="Times New Roman"/>
          <w:sz w:val="24"/>
          <w:szCs w:val="24"/>
        </w:rPr>
        <w:t xml:space="preserve">la tasa de interés </w:t>
      </w:r>
      <w:r w:rsidR="00205F1B" w:rsidRPr="00A2537C">
        <w:rPr>
          <w:rFonts w:ascii="Times New Roman" w:hAnsi="Times New Roman" w:cs="Times New Roman"/>
          <w:sz w:val="24"/>
          <w:szCs w:val="24"/>
        </w:rPr>
        <w:t>ante variaciones de la deuda.</w:t>
      </w:r>
      <w:r w:rsidR="0092537E" w:rsidRPr="00A2537C">
        <w:rPr>
          <w:rFonts w:ascii="Times New Roman" w:hAnsi="Times New Roman" w:cs="Times New Roman"/>
          <w:sz w:val="24"/>
          <w:szCs w:val="24"/>
        </w:rPr>
        <w:t xml:space="preserve"> </w:t>
      </w:r>
    </w:p>
    <w:p w14:paraId="1C196779" w14:textId="4DC85AB7" w:rsidR="00427C3A" w:rsidRPr="00427C3A" w:rsidRDefault="0092537E" w:rsidP="009758E6">
      <w:pPr>
        <w:spacing w:after="0" w:line="360" w:lineRule="auto"/>
        <w:ind w:firstLine="708"/>
        <w:jc w:val="both"/>
        <w:rPr>
          <w:rFonts w:ascii="Times New Roman" w:hAnsi="Times New Roman" w:cs="Times New Roman"/>
          <w:sz w:val="24"/>
          <w:szCs w:val="24"/>
        </w:rPr>
      </w:pPr>
      <w:r w:rsidRPr="00A2537C">
        <w:rPr>
          <w:rFonts w:ascii="Times New Roman" w:hAnsi="Times New Roman" w:cs="Times New Roman"/>
          <w:sz w:val="24"/>
          <w:szCs w:val="24"/>
        </w:rPr>
        <w:t xml:space="preserve">En virtud de lo anterior, el estudio </w:t>
      </w:r>
      <w:r w:rsidR="00427C3A" w:rsidRPr="00A2537C">
        <w:rPr>
          <w:rFonts w:ascii="Times New Roman" w:hAnsi="Times New Roman" w:cs="Times New Roman"/>
          <w:sz w:val="24"/>
          <w:szCs w:val="24"/>
        </w:rPr>
        <w:t>toma pie en un modelo Autorregresiv</w:t>
      </w:r>
      <w:r w:rsidR="00EB7F7A">
        <w:rPr>
          <w:rFonts w:ascii="Times New Roman" w:hAnsi="Times New Roman" w:cs="Times New Roman"/>
          <w:sz w:val="24"/>
          <w:szCs w:val="24"/>
        </w:rPr>
        <w:t>o</w:t>
      </w:r>
      <w:r w:rsidR="00427C3A" w:rsidRPr="00427C3A">
        <w:rPr>
          <w:rFonts w:ascii="Times New Roman" w:hAnsi="Times New Roman" w:cs="Times New Roman"/>
          <w:sz w:val="24"/>
          <w:szCs w:val="24"/>
        </w:rPr>
        <w:t xml:space="preserve"> con Rezagos Distribuidos (ARDL)</w:t>
      </w:r>
      <w:r>
        <w:rPr>
          <w:rFonts w:ascii="Times New Roman" w:hAnsi="Times New Roman" w:cs="Times New Roman"/>
          <w:sz w:val="24"/>
          <w:szCs w:val="24"/>
        </w:rPr>
        <w:t>, por lo cual</w:t>
      </w:r>
      <w:r w:rsidR="00205F1B">
        <w:rPr>
          <w:rFonts w:ascii="Times New Roman" w:hAnsi="Times New Roman" w:cs="Times New Roman"/>
          <w:sz w:val="24"/>
          <w:szCs w:val="24"/>
        </w:rPr>
        <w:t xml:space="preserve">, en forma genérica, </w:t>
      </w:r>
      <w:r>
        <w:rPr>
          <w:rFonts w:ascii="Times New Roman" w:hAnsi="Times New Roman" w:cs="Times New Roman"/>
          <w:sz w:val="24"/>
          <w:szCs w:val="24"/>
        </w:rPr>
        <w:t xml:space="preserve">se </w:t>
      </w:r>
      <w:r w:rsidR="00427C3A" w:rsidRPr="00427C3A">
        <w:rPr>
          <w:rFonts w:ascii="Times New Roman" w:hAnsi="Times New Roman" w:cs="Times New Roman"/>
          <w:sz w:val="24"/>
          <w:szCs w:val="24"/>
        </w:rPr>
        <w:t xml:space="preserve">asume la siguiente función estocástica: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427C3A" w:rsidRPr="00427C3A" w14:paraId="12BD8327" w14:textId="77777777" w:rsidTr="004A1558">
        <w:tc>
          <w:tcPr>
            <w:tcW w:w="8330" w:type="dxa"/>
            <w:vAlign w:val="center"/>
          </w:tcPr>
          <w:p w14:paraId="15A35D22" w14:textId="199016B4" w:rsidR="00427C3A" w:rsidRPr="00427C3A" w:rsidRDefault="00EF21D7" w:rsidP="004A1558">
            <w:pPr>
              <w:spacing w:before="120" w:after="120" w:line="360" w:lineRule="auto"/>
              <w:jc w:val="both"/>
              <w:rPr>
                <w:rFonts w:ascii="Times New Roman" w:hAnsi="Times New Roman"/>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τ</m:t>
                    </m:r>
                  </m:e>
                  <m:sub>
                    <m:r>
                      <w:rPr>
                        <w:rFonts w:ascii="Cambria Math" w:hAnsi="Cambria Math"/>
                        <w:sz w:val="24"/>
                        <w:szCs w:val="24"/>
                      </w:rPr>
                      <m:t>t</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j</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t-j</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j=0</m:t>
                    </m:r>
                  </m:sub>
                  <m:sup>
                    <m:r>
                      <w:rPr>
                        <w:rFonts w:ascii="Cambria Math" w:hAnsi="Cambria Math"/>
                        <w:sz w:val="24"/>
                        <w:szCs w:val="24"/>
                      </w:rPr>
                      <m:t>q-1</m:t>
                    </m:r>
                  </m:sup>
                  <m:e>
                    <m:sSubSup>
                      <m:sSubSupPr>
                        <m:ctrlPr>
                          <w:rPr>
                            <w:rFonts w:ascii="Cambria Math" w:hAnsi="Cambria Math"/>
                            <w:i/>
                            <w:sz w:val="24"/>
                            <w:szCs w:val="24"/>
                          </w:rPr>
                        </m:ctrlPr>
                      </m:sSubSupPr>
                      <m:e>
                        <m:r>
                          <w:rPr>
                            <w:rFonts w:ascii="Cambria Math" w:hAnsi="Cambria Math"/>
                            <w:sz w:val="24"/>
                            <w:szCs w:val="24"/>
                          </w:rPr>
                          <m:t>ψ</m:t>
                        </m:r>
                      </m:e>
                      <m:sub>
                        <m:r>
                          <w:rPr>
                            <w:rFonts w:ascii="Cambria Math" w:hAnsi="Cambria Math"/>
                            <w:sz w:val="24"/>
                            <w:szCs w:val="24"/>
                          </w:rPr>
                          <m:t>j</m:t>
                        </m:r>
                      </m:sub>
                      <m:sup>
                        <m:r>
                          <w:rPr>
                            <w:rFonts w:ascii="Cambria Math" w:hAnsi="Cambria Math"/>
                            <w:sz w:val="24"/>
                            <w:szCs w:val="24"/>
                          </w:rPr>
                          <m:t>´</m:t>
                        </m:r>
                      </m:sup>
                    </m:sSubSup>
                    <m:sSub>
                      <m:sSubPr>
                        <m:ctrlPr>
                          <w:rPr>
                            <w:rFonts w:ascii="Cambria Math" w:hAnsi="Cambria Math"/>
                            <w:i/>
                            <w:sz w:val="24"/>
                            <w:szCs w:val="24"/>
                          </w:rPr>
                        </m:ctrlPr>
                      </m:sSubPr>
                      <m:e>
                        <m:r>
                          <m:rPr>
                            <m:sty m:val="p"/>
                          </m:rPr>
                          <w:rPr>
                            <w:rFonts w:ascii="Cambria Math" w:hAnsi="Cambria Math"/>
                            <w:sz w:val="24"/>
                            <w:szCs w:val="24"/>
                          </w:rPr>
                          <m:t>Γ</m:t>
                        </m:r>
                      </m:e>
                      <m:sub>
                        <m:r>
                          <w:rPr>
                            <w:rFonts w:ascii="Cambria Math" w:hAnsi="Cambria Math"/>
                            <w:sz w:val="24"/>
                            <w:szCs w:val="24"/>
                          </w:rPr>
                          <m:t>t-j</m:t>
                        </m:r>
                      </m:sub>
                    </m:sSub>
                  </m:e>
                </m:nary>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oMath>
            </m:oMathPara>
          </w:p>
        </w:tc>
        <w:tc>
          <w:tcPr>
            <w:tcW w:w="648" w:type="dxa"/>
            <w:vAlign w:val="center"/>
          </w:tcPr>
          <w:p w14:paraId="3738A277" w14:textId="654AF6E7" w:rsidR="00427C3A" w:rsidRPr="00427C3A" w:rsidRDefault="00427C3A" w:rsidP="004A1558">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sidR="006132BF">
              <w:rPr>
                <w:rFonts w:ascii="Times New Roman" w:hAnsi="Times New Roman"/>
                <w:sz w:val="24"/>
                <w:szCs w:val="24"/>
              </w:rPr>
              <w:t>7</w:t>
            </w:r>
            <w:r w:rsidRPr="00427C3A">
              <w:rPr>
                <w:rFonts w:ascii="Times New Roman" w:hAnsi="Times New Roman"/>
                <w:sz w:val="24"/>
                <w:szCs w:val="24"/>
              </w:rPr>
              <w:t>)</w:t>
            </w:r>
          </w:p>
        </w:tc>
      </w:tr>
    </w:tbl>
    <w:p w14:paraId="118AC8A6" w14:textId="22F9FFFD" w:rsidR="00427C3A" w:rsidRPr="00427C3A" w:rsidRDefault="00427C3A" w:rsidP="00427C3A">
      <w:pPr>
        <w:spacing w:after="0" w:line="360" w:lineRule="auto"/>
        <w:jc w:val="both"/>
        <w:rPr>
          <w:rFonts w:ascii="Times New Roman" w:hAnsi="Times New Roman" w:cs="Times New Roman"/>
          <w:sz w:val="24"/>
          <w:szCs w:val="24"/>
        </w:rPr>
      </w:pPr>
      <w:r w:rsidRPr="00427C3A">
        <w:rPr>
          <w:rFonts w:ascii="Times New Roman"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sz w:val="24"/>
                <w:szCs w:val="24"/>
              </w:rPr>
              <m:t>τ</m:t>
            </m:r>
          </m:e>
          <m:sub>
            <m:r>
              <w:rPr>
                <w:rFonts w:ascii="Cambria Math" w:hAnsi="Cambria Math" w:cs="Times New Roman"/>
                <w:sz w:val="24"/>
                <w:szCs w:val="24"/>
              </w:rPr>
              <m:t>t</m:t>
            </m:r>
          </m:sub>
        </m:sSub>
      </m:oMath>
      <w:r w:rsidRPr="00427C3A">
        <w:rPr>
          <w:rFonts w:ascii="Times New Roman" w:hAnsi="Times New Roman" w:cs="Times New Roman"/>
          <w:sz w:val="24"/>
          <w:szCs w:val="24"/>
        </w:rPr>
        <w:t xml:space="preserve"> representa</w:t>
      </w:r>
      <w:r w:rsidR="0092537E">
        <w:rPr>
          <w:rFonts w:ascii="Times New Roman" w:hAnsi="Times New Roman" w:cs="Times New Roman"/>
          <w:sz w:val="24"/>
          <w:szCs w:val="24"/>
        </w:rPr>
        <w:t xml:space="preserve"> </w:t>
      </w:r>
      <w:r w:rsidR="00205F1B">
        <w:rPr>
          <w:rFonts w:ascii="Times New Roman" w:hAnsi="Times New Roman" w:cs="Times New Roman"/>
          <w:sz w:val="24"/>
          <w:szCs w:val="24"/>
        </w:rPr>
        <w:t>la</w:t>
      </w:r>
      <w:r w:rsidR="0092537E">
        <w:rPr>
          <w:rFonts w:ascii="Times New Roman" w:hAnsi="Times New Roman" w:cs="Times New Roman"/>
          <w:sz w:val="24"/>
          <w:szCs w:val="24"/>
        </w:rPr>
        <w:t xml:space="preserve"> variable de reacción</w:t>
      </w:r>
      <w:r w:rsidR="00205F1B">
        <w:rPr>
          <w:rFonts w:ascii="Times New Roman" w:hAnsi="Times New Roman" w:cs="Times New Roman"/>
          <w:sz w:val="24"/>
          <w:szCs w:val="24"/>
        </w:rPr>
        <w:t xml:space="preserve"> de cada especificación  (</w:t>
      </w:r>
      <w:r w:rsidR="00CD7D24">
        <w:rPr>
          <w:rFonts w:ascii="Times New Roman" w:eastAsiaTheme="minorEastAsia" w:hAnsi="Times New Roman"/>
          <w:sz w:val="24"/>
          <w:szCs w:val="24"/>
        </w:rPr>
        <w:t xml:space="preserve">producto </w:t>
      </w:r>
      <w:r w:rsidR="00CD7D24" w:rsidRPr="00F85CFC">
        <w:rPr>
          <w:rFonts w:ascii="Times New Roman" w:eastAsiaTheme="minorEastAsia" w:hAnsi="Times New Roman"/>
          <w:sz w:val="24"/>
          <w:szCs w:val="24"/>
        </w:rPr>
        <w:t>interno bruto</w:t>
      </w:r>
      <w:r w:rsidR="00205F1B">
        <w:rPr>
          <w:rFonts w:ascii="Times New Roman" w:hAnsi="Times New Roman" w:cs="Times New Roman"/>
          <w:sz w:val="24"/>
          <w:szCs w:val="24"/>
        </w:rPr>
        <w:t xml:space="preserve">, </w:t>
      </w:r>
      <w:r w:rsidR="00CD7D24">
        <w:rPr>
          <w:rFonts w:ascii="Times New Roman" w:hAnsi="Times New Roman" w:cs="Times New Roman"/>
          <w:sz w:val="24"/>
          <w:szCs w:val="24"/>
        </w:rPr>
        <w:t>precios</w:t>
      </w:r>
      <w:r w:rsidR="00205F1B">
        <w:rPr>
          <w:rFonts w:ascii="Times New Roman" w:hAnsi="Times New Roman" w:cs="Times New Roman"/>
          <w:sz w:val="24"/>
          <w:szCs w:val="24"/>
        </w:rPr>
        <w:t xml:space="preserve">,  tasa de interés y </w:t>
      </w:r>
      <w:r w:rsidR="00CD7D24">
        <w:rPr>
          <w:rFonts w:ascii="Times New Roman" w:hAnsi="Times New Roman" w:cs="Times New Roman"/>
          <w:sz w:val="24"/>
          <w:szCs w:val="24"/>
        </w:rPr>
        <w:t xml:space="preserve">índice </w:t>
      </w:r>
      <w:r w:rsidR="00205F1B">
        <w:rPr>
          <w:rFonts w:ascii="Times New Roman" w:hAnsi="Times New Roman" w:cs="Times New Roman"/>
          <w:sz w:val="24"/>
          <w:szCs w:val="24"/>
        </w:rPr>
        <w:t>bursátil</w:t>
      </w:r>
      <w:r w:rsidR="00CD7D24">
        <w:rPr>
          <w:rFonts w:ascii="Times New Roman" w:hAnsi="Times New Roman" w:cs="Times New Roman"/>
          <w:sz w:val="24"/>
          <w:szCs w:val="24"/>
        </w:rPr>
        <w:t xml:space="preserve">), en tanto que </w:t>
      </w:r>
      <m:oMath>
        <m:sSub>
          <m:sSubPr>
            <m:ctrlPr>
              <w:rPr>
                <w:rFonts w:ascii="Cambria Math" w:hAnsi="Cambria Math" w:cs="Times New Roman"/>
                <w:i/>
                <w:sz w:val="24"/>
                <w:szCs w:val="24"/>
              </w:rPr>
            </m:ctrlPr>
          </m:sSubPr>
          <m:e>
            <m:r>
              <m:rPr>
                <m:sty m:val="p"/>
              </m:rPr>
              <w:rPr>
                <w:rFonts w:ascii="Cambria Math" w:hAnsi="Cambria Math"/>
                <w:sz w:val="24"/>
                <w:szCs w:val="24"/>
              </w:rPr>
              <m:t>Γ</m:t>
            </m:r>
          </m:e>
          <m:sub>
            <m:r>
              <w:rPr>
                <w:rFonts w:ascii="Cambria Math" w:hAnsi="Cambria Math" w:cs="Times New Roman"/>
                <w:sz w:val="24"/>
                <w:szCs w:val="24"/>
              </w:rPr>
              <m:t>t</m:t>
            </m:r>
          </m:sub>
        </m:sSub>
      </m:oMath>
      <w:r w:rsidRPr="00427C3A">
        <w:rPr>
          <w:rFonts w:ascii="Times New Roman" w:hAnsi="Times New Roman" w:cs="Times New Roman"/>
          <w:sz w:val="24"/>
          <w:szCs w:val="24"/>
        </w:rPr>
        <w:t xml:space="preserve"> constituye un vector columna de variables explicativas (</w:t>
      </w:r>
      <w:r w:rsidR="00CD7D24">
        <w:rPr>
          <w:rFonts w:ascii="Times New Roman" w:eastAsiaTheme="minorEastAsia" w:hAnsi="Times New Roman" w:cs="Times New Roman"/>
          <w:sz w:val="24"/>
          <w:szCs w:val="24"/>
        </w:rPr>
        <w:t xml:space="preserve">productividad; acervo de capital; </w:t>
      </w:r>
      <w:r w:rsidR="00CD7D24">
        <w:rPr>
          <w:rFonts w:ascii="Times New Roman" w:hAnsi="Times New Roman"/>
          <w:sz w:val="24"/>
          <w:szCs w:val="24"/>
        </w:rPr>
        <w:t>precios</w:t>
      </w:r>
      <w:r>
        <w:rPr>
          <w:rFonts w:ascii="Times New Roman" w:hAnsi="Times New Roman"/>
          <w:sz w:val="24"/>
          <w:szCs w:val="24"/>
        </w:rPr>
        <w:t xml:space="preserve">; </w:t>
      </w:r>
      <w:r>
        <w:rPr>
          <w:rFonts w:ascii="Times New Roman" w:eastAsiaTheme="minorEastAsia" w:hAnsi="Times New Roman"/>
          <w:sz w:val="24"/>
          <w:szCs w:val="24"/>
        </w:rPr>
        <w:t xml:space="preserve">producto </w:t>
      </w:r>
      <w:r w:rsidRPr="00F85CFC">
        <w:rPr>
          <w:rFonts w:ascii="Times New Roman" w:eastAsiaTheme="minorEastAsia" w:hAnsi="Times New Roman"/>
          <w:sz w:val="24"/>
          <w:szCs w:val="24"/>
        </w:rPr>
        <w:t>interno bruto</w:t>
      </w:r>
      <w:r w:rsidR="004F2156">
        <w:rPr>
          <w:rFonts w:ascii="Times New Roman" w:eastAsiaTheme="minorEastAsia" w:hAnsi="Times New Roman"/>
          <w:sz w:val="24"/>
          <w:szCs w:val="24"/>
        </w:rPr>
        <w:t>;</w:t>
      </w:r>
      <w:r w:rsidR="00CD7D24">
        <w:rPr>
          <w:rFonts w:ascii="Times New Roman" w:eastAsiaTheme="minorEastAsia" w:hAnsi="Times New Roman"/>
          <w:sz w:val="24"/>
          <w:szCs w:val="24"/>
        </w:rPr>
        <w:t xml:space="preserve"> oferta monetaria;</w:t>
      </w:r>
      <w:r w:rsidRPr="00427C3A">
        <w:rPr>
          <w:rFonts w:ascii="Times New Roman" w:eastAsia="Times New Roman" w:hAnsi="Times New Roman" w:cs="Times New Roman"/>
          <w:sz w:val="24"/>
          <w:szCs w:val="24"/>
          <w:lang w:eastAsia="es-MX"/>
        </w:rPr>
        <w:t xml:space="preserve"> tipo cambio </w:t>
      </w:r>
      <w:r w:rsidR="004F2156">
        <w:rPr>
          <w:rFonts w:ascii="Times New Roman" w:eastAsia="Times New Roman" w:hAnsi="Times New Roman" w:cs="Times New Roman"/>
          <w:sz w:val="24"/>
          <w:szCs w:val="24"/>
          <w:lang w:eastAsia="es-MX"/>
        </w:rPr>
        <w:t>nominal;</w:t>
      </w:r>
      <w:r w:rsidR="00CD7D24">
        <w:rPr>
          <w:rFonts w:ascii="Times New Roman" w:eastAsia="Times New Roman" w:hAnsi="Times New Roman" w:cs="Times New Roman"/>
          <w:sz w:val="24"/>
          <w:szCs w:val="24"/>
          <w:lang w:eastAsia="es-MX"/>
        </w:rPr>
        <w:t xml:space="preserve"> </w:t>
      </w:r>
      <w:r w:rsidR="004F2156">
        <w:rPr>
          <w:rFonts w:ascii="Times New Roman" w:eastAsia="Times New Roman" w:hAnsi="Times New Roman" w:cs="Times New Roman"/>
          <w:sz w:val="24"/>
          <w:szCs w:val="24"/>
          <w:lang w:eastAsia="es-MX"/>
        </w:rPr>
        <w:t>deuda;</w:t>
      </w:r>
      <w:r w:rsidR="004F2156">
        <w:rPr>
          <w:rFonts w:ascii="Times New Roman" w:eastAsia="Times New Roman" w:hAnsi="Times New Roman" w:cs="Times New Roman"/>
          <w:sz w:val="24"/>
          <w:szCs w:val="24"/>
        </w:rPr>
        <w:t xml:space="preserve"> </w:t>
      </w:r>
      <w:r w:rsidR="004F2156">
        <w:rPr>
          <w:rFonts w:ascii="Times New Roman" w:eastAsia="Times New Roman" w:hAnsi="Times New Roman" w:cs="Times New Roman"/>
          <w:sz w:val="24"/>
          <w:szCs w:val="24"/>
          <w:lang w:eastAsia="es-MX"/>
        </w:rPr>
        <w:t>índice bursátil</w:t>
      </w:r>
      <w:r w:rsidRPr="00427C3A">
        <w:rPr>
          <w:rFonts w:ascii="Times New Roman" w:eastAsiaTheme="minorEastAsia" w:hAnsi="Times New Roman" w:cs="Times New Roman"/>
          <w:sz w:val="24"/>
          <w:szCs w:val="24"/>
        </w:rPr>
        <w:t>)</w:t>
      </w:r>
      <w:r w:rsidRPr="00427C3A">
        <w:rPr>
          <w:rFonts w:ascii="Times New Roman" w:hAnsi="Times New Roman" w:cs="Times New Roman"/>
          <w:sz w:val="24"/>
          <w:szCs w:val="24"/>
        </w:rPr>
        <w:t xml:space="preserve">; mientras que </w:t>
      </w:r>
      <m:oMath>
        <m:sSub>
          <m:sSubPr>
            <m:ctrlPr>
              <w:rPr>
                <w:rFonts w:ascii="Cambria Math" w:hAnsi="Cambria Math" w:cs="Times New Roman"/>
                <w:i/>
                <w:sz w:val="24"/>
                <w:szCs w:val="24"/>
              </w:rPr>
            </m:ctrlPr>
          </m:sSubPr>
          <m:e>
            <m:r>
              <w:rPr>
                <w:rFonts w:ascii="Cambria Math" w:hAnsi="Cambria Math"/>
                <w:sz w:val="24"/>
                <w:szCs w:val="24"/>
              </w:rPr>
              <m:t>θ</m:t>
            </m:r>
          </m:e>
          <m:sub>
            <m:r>
              <w:rPr>
                <w:rFonts w:ascii="Cambria Math" w:hAnsi="Cambria Math" w:cs="Times New Roman"/>
                <w:sz w:val="24"/>
                <w:szCs w:val="24"/>
              </w:rPr>
              <m:t>j</m:t>
            </m:r>
          </m:sub>
        </m:sSub>
      </m:oMath>
      <w:r w:rsidRPr="00427C3A">
        <w:rPr>
          <w:rFonts w:ascii="Times New Roman" w:hAnsi="Times New Roman" w:cs="Times New Roman"/>
          <w:sz w:val="24"/>
          <w:szCs w:val="24"/>
        </w:rPr>
        <w:t xml:space="preserve"> y </w:t>
      </w:r>
      <m:oMath>
        <m:sSubSup>
          <m:sSubSupPr>
            <m:ctrlPr>
              <w:rPr>
                <w:rFonts w:ascii="Cambria Math" w:hAnsi="Cambria Math" w:cs="Times New Roman"/>
                <w:i/>
                <w:sz w:val="24"/>
                <w:szCs w:val="24"/>
              </w:rPr>
            </m:ctrlPr>
          </m:sSubSupPr>
          <m:e>
            <m:r>
              <w:rPr>
                <w:rFonts w:ascii="Cambria Math" w:hAnsi="Cambria Math"/>
                <w:sz w:val="24"/>
                <w:szCs w:val="24"/>
              </w:rPr>
              <m:t>ψ</m:t>
            </m:r>
          </m:e>
          <m:sub>
            <m:r>
              <w:rPr>
                <w:rFonts w:ascii="Cambria Math" w:hAnsi="Cambria Math" w:cs="Times New Roman"/>
                <w:sz w:val="24"/>
                <w:szCs w:val="24"/>
              </w:rPr>
              <m:t>j</m:t>
            </m:r>
          </m:sub>
          <m:sup>
            <m:r>
              <w:rPr>
                <w:rFonts w:ascii="Cambria Math" w:hAnsi="Cambria Math" w:cs="Times New Roman"/>
                <w:sz w:val="24"/>
                <w:szCs w:val="24"/>
              </w:rPr>
              <m:t>´</m:t>
            </m:r>
          </m:sup>
        </m:sSubSup>
      </m:oMath>
      <w:r w:rsidRPr="00427C3A">
        <w:rPr>
          <w:rFonts w:ascii="Times New Roman" w:hAnsi="Times New Roman" w:cs="Times New Roman"/>
          <w:sz w:val="24"/>
          <w:szCs w:val="24"/>
        </w:rPr>
        <w:t xml:space="preserve">  </w:t>
      </w:r>
      <w:r w:rsidR="00CD7D24">
        <w:rPr>
          <w:rFonts w:ascii="Times New Roman" w:hAnsi="Times New Roman" w:cs="Times New Roman"/>
          <w:sz w:val="24"/>
          <w:szCs w:val="24"/>
        </w:rPr>
        <w:t>son</w:t>
      </w:r>
      <w:r w:rsidRPr="00427C3A">
        <w:rPr>
          <w:rFonts w:ascii="Times New Roman" w:hAnsi="Times New Roman" w:cs="Times New Roman"/>
          <w:sz w:val="24"/>
          <w:szCs w:val="24"/>
        </w:rPr>
        <w:t xml:space="preserve">  vectores de coeficientes y </w:t>
      </w:r>
      <m:oMath>
        <m:sSub>
          <m:sSubPr>
            <m:ctrlPr>
              <w:rPr>
                <w:rFonts w:ascii="Cambria Math" w:hAnsi="Cambria Math" w:cs="Times New Roman"/>
                <w:i/>
                <w:sz w:val="24"/>
                <w:szCs w:val="24"/>
              </w:rPr>
            </m:ctrlPr>
          </m:sSubPr>
          <m:e>
            <m:r>
              <w:rPr>
                <w:rFonts w:ascii="Cambria Math" w:hAnsi="Cambria Math"/>
                <w:sz w:val="24"/>
                <w:szCs w:val="24"/>
              </w:rPr>
              <m:t>ε</m:t>
            </m:r>
          </m:e>
          <m:sub>
            <m:r>
              <w:rPr>
                <w:rFonts w:ascii="Cambria Math" w:hAnsi="Cambria Math" w:cs="Times New Roman"/>
                <w:sz w:val="24"/>
                <w:szCs w:val="24"/>
              </w:rPr>
              <m:t>t</m:t>
            </m:r>
          </m:sub>
        </m:sSub>
      </m:oMath>
      <w:r w:rsidRPr="00427C3A">
        <w:rPr>
          <w:rFonts w:ascii="Times New Roman" w:hAnsi="Times New Roman" w:cs="Times New Roman"/>
          <w:sz w:val="24"/>
          <w:szCs w:val="24"/>
        </w:rPr>
        <w:t xml:space="preserve"> </w:t>
      </w:r>
      <w:r w:rsidRPr="00427C3A">
        <w:rPr>
          <w:rFonts w:ascii="Times New Roman" w:eastAsiaTheme="minorEastAsia" w:hAnsi="Times New Roman" w:cs="Times New Roman"/>
          <w:sz w:val="24"/>
          <w:szCs w:val="24"/>
        </w:rPr>
        <w:t>un vector columna de perturbaciones aleatorias con media cero y varianza constante</w:t>
      </w:r>
      <w:r w:rsidRPr="00427C3A">
        <w:rPr>
          <w:rFonts w:ascii="Times New Roman" w:hAnsi="Times New Roman" w:cs="Times New Roman"/>
          <w:sz w:val="24"/>
          <w:szCs w:val="24"/>
        </w:rPr>
        <w:t>.</w:t>
      </w:r>
      <w:r w:rsidR="006B7D7A">
        <w:rPr>
          <w:rFonts w:ascii="Times New Roman" w:hAnsi="Times New Roman" w:cs="Times New Roman"/>
          <w:sz w:val="24"/>
          <w:szCs w:val="24"/>
        </w:rPr>
        <w:t xml:space="preserve"> </w:t>
      </w:r>
    </w:p>
    <w:p w14:paraId="144038F0" w14:textId="4893DE57" w:rsidR="00427C3A" w:rsidRPr="00427C3A" w:rsidRDefault="00CD7D24" w:rsidP="00A2537C">
      <w:pPr>
        <w:spacing w:after="0" w:line="360" w:lineRule="auto"/>
        <w:ind w:firstLine="708"/>
        <w:jc w:val="both"/>
        <w:rPr>
          <w:rFonts w:ascii="Times New Roman" w:hAnsi="Times New Roman"/>
          <w:sz w:val="24"/>
          <w:szCs w:val="24"/>
        </w:rPr>
      </w:pPr>
      <w:r>
        <w:rPr>
          <w:rFonts w:ascii="Times New Roman" w:hAnsi="Times New Roman"/>
          <w:sz w:val="24"/>
          <w:szCs w:val="24"/>
        </w:rPr>
        <w:t xml:space="preserve">Si </w:t>
      </w:r>
      <w:r w:rsidR="00427C3A" w:rsidRPr="00427C3A">
        <w:rPr>
          <w:rFonts w:ascii="Times New Roman" w:hAnsi="Times New Roman"/>
          <w:sz w:val="24"/>
          <w:szCs w:val="24"/>
        </w:rPr>
        <w:t xml:space="preserve">las </w:t>
      </w:r>
      <w:r w:rsidR="004F2156">
        <w:rPr>
          <w:rFonts w:ascii="Times New Roman" w:hAnsi="Times New Roman"/>
          <w:sz w:val="24"/>
          <w:szCs w:val="24"/>
        </w:rPr>
        <w:t xml:space="preserve">series de la </w:t>
      </w:r>
      <w:r w:rsidR="00427C3A" w:rsidRPr="00427C3A">
        <w:rPr>
          <w:rFonts w:ascii="Times New Roman" w:hAnsi="Times New Roman"/>
          <w:sz w:val="24"/>
          <w:szCs w:val="24"/>
        </w:rPr>
        <w:t>expresión (</w:t>
      </w:r>
      <w:r w:rsidR="00EB2838">
        <w:rPr>
          <w:rFonts w:ascii="Times New Roman" w:hAnsi="Times New Roman"/>
          <w:sz w:val="24"/>
          <w:szCs w:val="24"/>
        </w:rPr>
        <w:t>7</w:t>
      </w:r>
      <w:r w:rsidR="00427C3A" w:rsidRPr="00427C3A">
        <w:rPr>
          <w:rFonts w:ascii="Times New Roman" w:hAnsi="Times New Roman"/>
          <w:sz w:val="24"/>
          <w:szCs w:val="24"/>
        </w:rPr>
        <w:t xml:space="preserve">) son integradas de orden </w:t>
      </w:r>
      <m:oMath>
        <m:r>
          <w:rPr>
            <w:rFonts w:ascii="Cambria Math" w:hAnsi="Cambria Math"/>
            <w:sz w:val="24"/>
            <w:szCs w:val="24"/>
          </w:rPr>
          <m:t>I(d)</m:t>
        </m:r>
      </m:oMath>
      <w:r w:rsidR="00427C3A" w:rsidRPr="00427C3A">
        <w:rPr>
          <w:rFonts w:ascii="Times New Roman" w:hAnsi="Times New Roman"/>
          <w:sz w:val="24"/>
          <w:szCs w:val="24"/>
        </w:rPr>
        <w:t xml:space="preserve"> y el término de error es un proceso </w:t>
      </w:r>
      <w:r w:rsidR="00427C3A" w:rsidRPr="00427C3A">
        <w:rPr>
          <w:rFonts w:ascii="Times New Roman" w:hAnsi="Times New Roman" w:cs="Times New Roman"/>
          <w:sz w:val="24"/>
          <w:szCs w:val="24"/>
        </w:rPr>
        <w:t>estocástico estacionarios en niveles</w:t>
      </w:r>
      <m:oMath>
        <m:r>
          <w:rPr>
            <w:rFonts w:ascii="Cambria Math" w:hAnsi="Cambria Math"/>
            <w:sz w:val="24"/>
            <w:szCs w:val="24"/>
          </w:rPr>
          <m:t>,</m:t>
        </m:r>
      </m:oMath>
      <w:r w:rsidR="00427C3A" w:rsidRPr="00427C3A">
        <w:rPr>
          <w:rFonts w:ascii="Times New Roman" w:hAnsi="Times New Roman"/>
          <w:sz w:val="24"/>
          <w:szCs w:val="24"/>
        </w:rPr>
        <w:t xml:space="preserve"> entonces </w:t>
      </w:r>
      <w:r w:rsidR="004F2156">
        <w:rPr>
          <w:rFonts w:ascii="Times New Roman" w:hAnsi="Times New Roman"/>
          <w:sz w:val="24"/>
          <w:szCs w:val="24"/>
        </w:rPr>
        <w:t>deberá incorporarse a</w:t>
      </w:r>
      <w:r w:rsidR="00427C3A" w:rsidRPr="00427C3A">
        <w:rPr>
          <w:rFonts w:ascii="Times New Roman" w:hAnsi="Times New Roman"/>
          <w:sz w:val="24"/>
          <w:szCs w:val="24"/>
        </w:rPr>
        <w:t>l modelo autorregresivo</w:t>
      </w:r>
      <w:r w:rsidR="004F2156">
        <w:rPr>
          <w:rFonts w:ascii="Times New Roman" w:hAnsi="Times New Roman"/>
          <w:sz w:val="24"/>
          <w:szCs w:val="24"/>
        </w:rPr>
        <w:t xml:space="preserve"> </w:t>
      </w:r>
      <w:r w:rsidR="00427C3A" w:rsidRPr="00427C3A">
        <w:rPr>
          <w:rFonts w:ascii="Times New Roman" w:hAnsi="Times New Roman"/>
          <w:sz w:val="24"/>
          <w:szCs w:val="24"/>
        </w:rPr>
        <w:t xml:space="preserve">una ecuación de corrección de error, </w:t>
      </w:r>
      <w:r w:rsidR="004F2156">
        <w:rPr>
          <w:rFonts w:ascii="Times New Roman" w:hAnsi="Times New Roman"/>
          <w:sz w:val="24"/>
          <w:szCs w:val="24"/>
        </w:rPr>
        <w:t xml:space="preserve">con el objetivo de capturar </w:t>
      </w:r>
      <w:r w:rsidR="00427C3A" w:rsidRPr="00427C3A">
        <w:rPr>
          <w:rFonts w:ascii="Times New Roman" w:hAnsi="Times New Roman"/>
          <w:sz w:val="24"/>
          <w:szCs w:val="24"/>
        </w:rPr>
        <w:t xml:space="preserve">las desviaciones de corto plazo de las variables con respecto de la senda de equilibrio. </w:t>
      </w:r>
      <w:r w:rsidR="004F2156">
        <w:rPr>
          <w:rFonts w:ascii="Times New Roman" w:hAnsi="Times New Roman"/>
          <w:sz w:val="24"/>
          <w:szCs w:val="24"/>
        </w:rPr>
        <w:t xml:space="preserve">Por lo tanto, la función de reacción </w:t>
      </w:r>
      <w:r>
        <w:rPr>
          <w:rFonts w:ascii="Times New Roman" w:hAnsi="Times New Roman"/>
          <w:sz w:val="24"/>
          <w:szCs w:val="24"/>
        </w:rPr>
        <w:t xml:space="preserve">correspondiente </w:t>
      </w:r>
      <w:r w:rsidR="004F2156">
        <w:rPr>
          <w:rFonts w:ascii="Times New Roman" w:hAnsi="Times New Roman"/>
          <w:sz w:val="24"/>
          <w:szCs w:val="24"/>
        </w:rPr>
        <w:t>queda</w:t>
      </w:r>
      <w:r>
        <w:rPr>
          <w:rFonts w:ascii="Times New Roman" w:hAnsi="Times New Roman"/>
          <w:sz w:val="24"/>
          <w:szCs w:val="24"/>
        </w:rPr>
        <w:t>rá</w:t>
      </w:r>
      <w:r w:rsidR="004F2156">
        <w:rPr>
          <w:rFonts w:ascii="Times New Roman" w:hAnsi="Times New Roman"/>
          <w:sz w:val="24"/>
          <w:szCs w:val="24"/>
        </w:rPr>
        <w:t xml:space="preserve"> definida como</w:t>
      </w:r>
      <w:r w:rsidR="00427C3A" w:rsidRPr="00427C3A">
        <w:rPr>
          <w:rFonts w:ascii="Times New Roman" w:hAnsi="Times New Roman" w:cs="Times New Roman"/>
          <w:sz w:val="24"/>
          <w:szCs w:val="24"/>
        </w:rPr>
        <w:t xml:space="preserve">: </w:t>
      </w:r>
    </w:p>
    <w:tbl>
      <w:tblPr>
        <w:tblStyle w:val="Tablaconcuadrcula"/>
        <w:tblW w:w="8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48"/>
      </w:tblGrid>
      <w:tr w:rsidR="00427C3A" w:rsidRPr="00427C3A" w14:paraId="12A6BEE1" w14:textId="77777777" w:rsidTr="004A1558">
        <w:tc>
          <w:tcPr>
            <w:tcW w:w="8330" w:type="dxa"/>
            <w:vAlign w:val="center"/>
          </w:tcPr>
          <w:p w14:paraId="7ED4FE3D" w14:textId="66DEF729" w:rsidR="00427C3A" w:rsidRPr="00427C3A" w:rsidRDefault="00427C3A" w:rsidP="004A1558">
            <w:pPr>
              <w:spacing w:before="120" w:after="120" w:line="360" w:lineRule="auto"/>
              <w:jc w:val="both"/>
              <w:rPr>
                <w:rFonts w:ascii="Times New Roman" w:hAnsi="Times New Roman"/>
                <w:sz w:val="24"/>
                <w:szCs w:val="24"/>
              </w:rPr>
            </w:pPr>
            <m:oMathPara>
              <m:oMathParaPr>
                <m:jc m:val="center"/>
              </m:oMathParaPr>
              <m:oMath>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τ</m:t>
                    </m:r>
                  </m:e>
                  <m:sub>
                    <m: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0</m:t>
                    </m:r>
                  </m:sub>
                </m:sSub>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β</m:t>
                    </m:r>
                  </m:e>
                  <m:sup>
                    <m:r>
                      <m:rPr>
                        <m:sty m:val="p"/>
                      </m:rPr>
                      <w:rPr>
                        <w:rFonts w:ascii="Cambria Math" w:hAnsi="Cambria Math"/>
                        <w:sz w:val="24"/>
                        <w:szCs w:val="24"/>
                      </w:rPr>
                      <m:t>'</m:t>
                    </m:r>
                  </m:sup>
                </m:sSup>
                <m:sSub>
                  <m:sSubPr>
                    <m:ctrlPr>
                      <w:rPr>
                        <w:rFonts w:ascii="Cambria Math" w:hAnsi="Cambria Math"/>
                        <w:sz w:val="24"/>
                        <w:szCs w:val="24"/>
                      </w:rPr>
                    </m:ctrlPr>
                  </m:sSubPr>
                  <m:e>
                    <m:r>
                      <w:rPr>
                        <w:rFonts w:ascii="Cambria Math" w:hAnsi="Cambria Math"/>
                        <w:sz w:val="24"/>
                        <w:szCs w:val="24"/>
                      </w:rPr>
                      <m:t>Γ</m:t>
                    </m:r>
                  </m:e>
                  <m:sub>
                    <m:r>
                      <w:rPr>
                        <w:rFonts w:ascii="Cambria Math" w:hAnsi="Cambria Math"/>
                        <w:sz w:val="24"/>
                        <w:szCs w:val="24"/>
                      </w:rPr>
                      <m:t>t</m:t>
                    </m:r>
                  </m:sub>
                </m:sSub>
                <m:r>
                  <m:rPr>
                    <m:sty m:val="p"/>
                  </m:rPr>
                  <w:rPr>
                    <w:rFonts w:ascii="Cambria Math" w:hAnsi="Cambria Math"/>
                    <w:sz w:val="24"/>
                    <w:szCs w:val="24"/>
                  </w:rPr>
                  <m:t>+</m:t>
                </m:r>
                <m:r>
                  <w:rPr>
                    <w:rFonts w:ascii="Cambria Math" w:hAnsi="Cambria Math"/>
                    <w:sz w:val="24"/>
                    <w:szCs w:val="24"/>
                  </w:rPr>
                  <m:t>α</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j</m:t>
                    </m:r>
                    <m:r>
                      <m:rPr>
                        <m:sty m:val="p"/>
                      </m:rPr>
                      <w:rPr>
                        <w:rFonts w:ascii="Cambria Math" w:hAnsi="Cambria Math"/>
                        <w:sz w:val="24"/>
                        <w:szCs w:val="24"/>
                      </w:rPr>
                      <m:t>=1</m:t>
                    </m:r>
                  </m:sub>
                  <m:sup>
                    <m:r>
                      <w:rPr>
                        <w:rFonts w:ascii="Cambria Math" w:hAnsi="Cambria Math"/>
                        <w:sz w:val="24"/>
                        <w:szCs w:val="24"/>
                      </w:rPr>
                      <m:t>p</m:t>
                    </m:r>
                  </m:sup>
                  <m:e>
                    <m:sSub>
                      <m:sSubPr>
                        <m:ctrlPr>
                          <w:rPr>
                            <w:rFonts w:ascii="Cambria Math" w:hAnsi="Cambria Math"/>
                            <w:sz w:val="24"/>
                            <w:szCs w:val="24"/>
                          </w:rPr>
                        </m:ctrlPr>
                      </m:sSubPr>
                      <m:e>
                        <m:r>
                          <w:rPr>
                            <w:rFonts w:ascii="Cambria Math" w:hAnsi="Cambria Math"/>
                            <w:sz w:val="24"/>
                            <w:szCs w:val="24"/>
                          </w:rPr>
                          <m:t>θ</m:t>
                        </m:r>
                      </m:e>
                      <m:sub>
                        <m:r>
                          <w:rPr>
                            <w:rFonts w:ascii="Cambria Math" w:hAnsi="Cambria Math"/>
                            <w:sz w:val="24"/>
                            <w:szCs w:val="24"/>
                          </w:rPr>
                          <m:t>j</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i</m:t>
                        </m:r>
                      </m:e>
                      <m:sub>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j</m:t>
                        </m:r>
                      </m:sub>
                    </m:sSub>
                  </m:e>
                </m:nary>
                <m:r>
                  <m:rPr>
                    <m:sty m:val="p"/>
                  </m:rPr>
                  <w:rPr>
                    <w:rFonts w:ascii="Cambria Math" w:hAnsi="Cambria Math"/>
                    <w:sz w:val="24"/>
                    <w:szCs w:val="24"/>
                  </w:rPr>
                  <m:t>+</m:t>
                </m:r>
                <m:nary>
                  <m:naryPr>
                    <m:chr m:val="∑"/>
                    <m:limLoc m:val="undOvr"/>
                    <m:ctrlPr>
                      <w:rPr>
                        <w:rFonts w:ascii="Cambria Math" w:hAnsi="Cambria Math"/>
                        <w:sz w:val="24"/>
                        <w:szCs w:val="24"/>
                      </w:rPr>
                    </m:ctrlPr>
                  </m:naryPr>
                  <m:sub>
                    <m:r>
                      <w:rPr>
                        <w:rFonts w:ascii="Cambria Math" w:hAnsi="Cambria Math"/>
                        <w:sz w:val="24"/>
                        <w:szCs w:val="24"/>
                      </w:rPr>
                      <m:t>j</m:t>
                    </m:r>
                    <m:r>
                      <m:rPr>
                        <m:sty m:val="p"/>
                      </m:rPr>
                      <w:rPr>
                        <w:rFonts w:ascii="Cambria Math" w:hAnsi="Cambria Math"/>
                        <w:sz w:val="24"/>
                        <w:szCs w:val="24"/>
                      </w:rPr>
                      <m:t>=0</m:t>
                    </m:r>
                  </m:sub>
                  <m:sup>
                    <m:r>
                      <w:rPr>
                        <w:rFonts w:ascii="Cambria Math" w:hAnsi="Cambria Math"/>
                        <w:sz w:val="24"/>
                        <w:szCs w:val="24"/>
                      </w:rPr>
                      <m:t>q</m:t>
                    </m:r>
                    <m:r>
                      <m:rPr>
                        <m:sty m:val="p"/>
                      </m:rPr>
                      <w:rPr>
                        <w:rFonts w:ascii="Cambria Math" w:hAnsi="Cambria Math"/>
                        <w:sz w:val="24"/>
                        <w:szCs w:val="24"/>
                      </w:rPr>
                      <m:t>-1</m:t>
                    </m:r>
                  </m:sup>
                  <m:e>
                    <m:sSubSup>
                      <m:sSubSupPr>
                        <m:ctrlPr>
                          <w:rPr>
                            <w:rFonts w:ascii="Cambria Math" w:hAnsi="Cambria Math"/>
                            <w:sz w:val="24"/>
                            <w:szCs w:val="24"/>
                          </w:rPr>
                        </m:ctrlPr>
                      </m:sSubSupPr>
                      <m:e>
                        <m:r>
                          <w:rPr>
                            <w:rFonts w:ascii="Cambria Math" w:hAnsi="Cambria Math"/>
                            <w:sz w:val="24"/>
                            <w:szCs w:val="24"/>
                          </w:rPr>
                          <m:t>ψ</m:t>
                        </m:r>
                      </m:e>
                      <m:sub>
                        <m:r>
                          <w:rPr>
                            <w:rFonts w:ascii="Cambria Math" w:hAnsi="Cambria Math"/>
                            <w:sz w:val="24"/>
                            <w:szCs w:val="24"/>
                          </w:rPr>
                          <m:t>j</m:t>
                        </m:r>
                      </m:sub>
                      <m:sup>
                        <m:r>
                          <m:rPr>
                            <m:sty m:val="p"/>
                          </m:rPr>
                          <w:rPr>
                            <w:rFonts w:ascii="Cambria Math" w:hAnsi="Cambria Math"/>
                            <w:sz w:val="24"/>
                            <w:szCs w:val="24"/>
                          </w:rPr>
                          <m:t>´</m:t>
                        </m:r>
                      </m:sup>
                    </m:sSubSup>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Γ</m:t>
                        </m:r>
                      </m:e>
                      <m:sub>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j</m:t>
                        </m:r>
                      </m:sub>
                    </m:sSub>
                  </m:e>
                </m:nary>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t</m:t>
                    </m:r>
                  </m:sub>
                </m:sSub>
              </m:oMath>
            </m:oMathPara>
          </w:p>
        </w:tc>
        <w:tc>
          <w:tcPr>
            <w:tcW w:w="648" w:type="dxa"/>
            <w:vAlign w:val="center"/>
          </w:tcPr>
          <w:p w14:paraId="4C2A6D0F" w14:textId="74C6F464" w:rsidR="00427C3A" w:rsidRPr="00427C3A" w:rsidRDefault="00427C3A" w:rsidP="004A1558">
            <w:pPr>
              <w:spacing w:before="120" w:after="120" w:line="360" w:lineRule="auto"/>
              <w:jc w:val="both"/>
              <w:rPr>
                <w:rFonts w:ascii="Times New Roman" w:hAnsi="Times New Roman"/>
                <w:sz w:val="24"/>
                <w:szCs w:val="24"/>
              </w:rPr>
            </w:pPr>
            <w:r w:rsidRPr="00427C3A">
              <w:rPr>
                <w:rFonts w:ascii="Times New Roman" w:hAnsi="Times New Roman"/>
                <w:sz w:val="24"/>
                <w:szCs w:val="24"/>
              </w:rPr>
              <w:t>(</w:t>
            </w:r>
            <w:r w:rsidR="006132BF">
              <w:rPr>
                <w:rFonts w:ascii="Times New Roman" w:hAnsi="Times New Roman"/>
                <w:sz w:val="24"/>
                <w:szCs w:val="24"/>
              </w:rPr>
              <w:t>8</w:t>
            </w:r>
            <w:r w:rsidRPr="00427C3A">
              <w:rPr>
                <w:rFonts w:ascii="Times New Roman" w:hAnsi="Times New Roman"/>
                <w:sz w:val="24"/>
                <w:szCs w:val="24"/>
              </w:rPr>
              <w:t>)</w:t>
            </w:r>
          </w:p>
        </w:tc>
      </w:tr>
    </w:tbl>
    <w:p w14:paraId="21F57CD4" w14:textId="5FD80A3D" w:rsidR="00427C3A" w:rsidRPr="00427C3A" w:rsidRDefault="00427C3A" w:rsidP="00A2537C">
      <w:pPr>
        <w:spacing w:after="0" w:line="360" w:lineRule="auto"/>
        <w:ind w:firstLine="708"/>
        <w:jc w:val="both"/>
        <w:rPr>
          <w:rFonts w:ascii="Times New Roman" w:hAnsi="Times New Roman" w:cs="Times New Roman"/>
          <w:sz w:val="24"/>
          <w:szCs w:val="24"/>
        </w:rPr>
      </w:pPr>
      <w:r w:rsidRPr="00427C3A">
        <w:rPr>
          <w:rFonts w:ascii="Times New Roman" w:hAnsi="Times New Roman" w:cs="Times New Roman"/>
          <w:sz w:val="24"/>
          <w:szCs w:val="24"/>
        </w:rPr>
        <w:t xml:space="preserve">En esta ecuación, </w:t>
      </w:r>
      <m:oMath>
        <m:sSub>
          <m:sSubPr>
            <m:ctrlPr>
              <w:rPr>
                <w:rFonts w:ascii="Cambria Math" w:hAnsi="Cambria Math" w:cs="Times New Roman"/>
                <w:i/>
                <w:sz w:val="24"/>
                <w:szCs w:val="24"/>
              </w:rPr>
            </m:ctrlPr>
          </m:sSubPr>
          <m:e>
            <m:r>
              <w:rPr>
                <w:rFonts w:ascii="Cambria Math" w:hAnsi="Cambria Math"/>
                <w:sz w:val="24"/>
                <w:szCs w:val="24"/>
              </w:rPr>
              <m:t>τ</m:t>
            </m:r>
          </m:e>
          <m:sub>
            <m:r>
              <w:rPr>
                <w:rFonts w:ascii="Cambria Math" w:hAnsi="Cambria Math" w:cs="Times New Roman"/>
                <w:sz w:val="24"/>
                <w:szCs w:val="24"/>
              </w:rPr>
              <m:t>t</m:t>
            </m:r>
          </m:sub>
        </m:sSub>
      </m:oMath>
      <w:r w:rsidR="00CF1A02" w:rsidRPr="00427C3A">
        <w:rPr>
          <w:rFonts w:ascii="Times New Roman" w:hAnsi="Times New Roman" w:cs="Times New Roman"/>
          <w:sz w:val="24"/>
          <w:szCs w:val="24"/>
        </w:rPr>
        <w:t xml:space="preserve"> representa</w:t>
      </w:r>
      <w:r w:rsidR="00CF1A02">
        <w:rPr>
          <w:rFonts w:ascii="Times New Roman" w:hAnsi="Times New Roman" w:cs="Times New Roman"/>
          <w:sz w:val="24"/>
          <w:szCs w:val="24"/>
        </w:rPr>
        <w:t xml:space="preserve"> la variable de reacción de cada especificación</w:t>
      </w:r>
      <w:r w:rsidR="00405E9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sz w:val="24"/>
                <w:szCs w:val="24"/>
              </w:rPr>
              <m:t>Γ</m:t>
            </m:r>
          </m:e>
          <m:sub>
            <m:r>
              <w:rPr>
                <w:rFonts w:ascii="Cambria Math" w:hAnsi="Cambria Math" w:cs="Times New Roman"/>
                <w:sz w:val="24"/>
                <w:szCs w:val="24"/>
              </w:rPr>
              <m:t>t</m:t>
            </m:r>
          </m:sub>
        </m:sSub>
      </m:oMath>
      <w:r w:rsidR="004F2156" w:rsidRPr="00427C3A">
        <w:rPr>
          <w:rFonts w:ascii="Times New Roman" w:hAnsi="Times New Roman" w:cs="Times New Roman"/>
          <w:sz w:val="24"/>
          <w:szCs w:val="24"/>
        </w:rPr>
        <w:t xml:space="preserve"> constituye un vector columna de variables explicativas;</w:t>
      </w:r>
      <w:r w:rsidRPr="00427C3A">
        <w:rPr>
          <w:rFonts w:ascii="Times New Roman" w:eastAsiaTheme="minorEastAsia" w:hAnsi="Times New Roman" w:cs="Times New Roman"/>
          <w:sz w:val="24"/>
          <w:szCs w:val="24"/>
        </w:rPr>
        <w:t xml:space="preserve"> </w:t>
      </w:r>
      <m:oMath>
        <m:sSup>
          <m:sSupPr>
            <m:ctrlPr>
              <w:rPr>
                <w:rFonts w:ascii="Cambria Math" w:hAnsi="Cambria Math"/>
                <w:sz w:val="24"/>
                <w:szCs w:val="24"/>
              </w:rPr>
            </m:ctrlPr>
          </m:sSupPr>
          <m:e>
            <m:r>
              <w:rPr>
                <w:rFonts w:ascii="Cambria Math" w:hAnsi="Cambria Math"/>
                <w:sz w:val="24"/>
                <w:szCs w:val="24"/>
              </w:rPr>
              <m:t>β</m:t>
            </m:r>
          </m:e>
          <m:sup>
            <m:r>
              <m:rPr>
                <m:sty m:val="p"/>
              </m:rPr>
              <w:rPr>
                <w:rFonts w:ascii="Cambria Math" w:hAnsi="Cambria Math"/>
                <w:sz w:val="24"/>
                <w:szCs w:val="24"/>
              </w:rPr>
              <m:t>'</m:t>
            </m:r>
          </m:sup>
        </m:sSup>
      </m:oMath>
      <w:r w:rsidRPr="00427C3A">
        <w:rPr>
          <w:rFonts w:ascii="Times New Roman" w:eastAsiaTheme="minorEastAsia" w:hAnsi="Times New Roman" w:cs="Times New Roman"/>
          <w:sz w:val="24"/>
          <w:szCs w:val="24"/>
        </w:rPr>
        <w:t xml:space="preserve"> es un vector de </w:t>
      </w:r>
      <w:r w:rsidRPr="00427C3A">
        <w:rPr>
          <w:rFonts w:ascii="Times New Roman" w:eastAsiaTheme="minorEastAsia" w:hAnsi="Times New Roman" w:cs="Times New Roman"/>
          <w:i/>
          <w:iCs/>
          <w:sz w:val="24"/>
          <w:szCs w:val="24"/>
        </w:rPr>
        <w:t>kx</w:t>
      </w:r>
      <w:r w:rsidR="00CF1A02" w:rsidRPr="00427C3A">
        <w:rPr>
          <w:rFonts w:ascii="Times New Roman" w:eastAsiaTheme="minorEastAsia" w:hAnsi="Times New Roman" w:cs="Times New Roman"/>
          <w:i/>
          <w:iCs/>
          <w:sz w:val="24"/>
          <w:szCs w:val="24"/>
        </w:rPr>
        <w:t>1</w:t>
      </w:r>
      <w:r w:rsidR="00CF1A02" w:rsidRPr="00427C3A">
        <w:rPr>
          <w:rFonts w:ascii="Times New Roman" w:eastAsiaTheme="minorEastAsia" w:hAnsi="Times New Roman" w:cs="Times New Roman"/>
          <w:sz w:val="24"/>
          <w:szCs w:val="24"/>
        </w:rPr>
        <w:t xml:space="preserve"> </w:t>
      </w:r>
      <w:r w:rsidR="00153CF4">
        <w:rPr>
          <w:rFonts w:ascii="Times New Roman" w:eastAsiaTheme="minorEastAsia" w:hAnsi="Times New Roman" w:cs="Times New Roman"/>
          <w:sz w:val="24"/>
          <w:szCs w:val="24"/>
        </w:rPr>
        <w:t xml:space="preserve">estimadores </w:t>
      </w:r>
      <w:r w:rsidRPr="00427C3A">
        <w:rPr>
          <w:rFonts w:ascii="Times New Roman" w:hAnsi="Times New Roman" w:cs="Times New Roman"/>
          <w:sz w:val="24"/>
          <w:szCs w:val="24"/>
        </w:rPr>
        <w:t>de largo</w:t>
      </w:r>
      <w:r w:rsidR="007D7A18">
        <w:rPr>
          <w:rFonts w:ascii="Times New Roman" w:hAnsi="Times New Roman" w:cs="Times New Roman"/>
          <w:sz w:val="24"/>
          <w:szCs w:val="24"/>
        </w:rPr>
        <w:t xml:space="preserve"> plazo</w:t>
      </w:r>
      <w:r w:rsidRPr="00427C3A">
        <w:rPr>
          <w:rFonts w:ascii="Times New Roman" w:hAnsi="Times New Roman" w:cs="Times New Roman"/>
          <w:sz w:val="24"/>
          <w:szCs w:val="24"/>
        </w:rPr>
        <w:t xml:space="preserve">, mientras </w:t>
      </w:r>
      <w:r w:rsidR="00153CF4">
        <w:rPr>
          <w:rFonts w:ascii="Times New Roman" w:hAnsi="Times New Roman" w:cs="Times New Roman"/>
          <w:sz w:val="24"/>
          <w:szCs w:val="24"/>
        </w:rPr>
        <w:t xml:space="preserve">que </w:t>
      </w:r>
      <w:r w:rsidRPr="00427C3A">
        <w:rPr>
          <w:rFonts w:ascii="Times New Roman" w:hAnsi="Times New Roman" w:cs="Times New Roman"/>
          <w:sz w:val="24"/>
          <w:szCs w:val="24"/>
        </w:rPr>
        <w:t xml:space="preserve">los vectores  </w:t>
      </w:r>
      <m:oMath>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j</m:t>
            </m:r>
          </m:sub>
        </m:sSub>
      </m:oMath>
      <w:r w:rsidRPr="00427C3A">
        <w:rPr>
          <w:rFonts w:ascii="Times New Roman" w:hAnsi="Times New Roman" w:cs="Times New Roman"/>
          <w:sz w:val="24"/>
          <w:szCs w:val="24"/>
        </w:rPr>
        <w:t xml:space="preserve"> y </w:t>
      </w:r>
      <m:oMath>
        <m:sSubSup>
          <m:sSubSupPr>
            <m:ctrlPr>
              <w:rPr>
                <w:rFonts w:ascii="Cambria Math" w:hAnsi="Cambria Math" w:cs="Times New Roman"/>
                <w:i/>
                <w:sz w:val="24"/>
                <w:szCs w:val="24"/>
              </w:rPr>
            </m:ctrlPr>
          </m:sSubSupPr>
          <m:e>
            <m:r>
              <w:rPr>
                <w:rFonts w:ascii="Cambria Math" w:hAnsi="Cambria Math"/>
                <w:sz w:val="24"/>
                <w:szCs w:val="24"/>
              </w:rPr>
              <m:t>τ</m:t>
            </m:r>
          </m:e>
          <m:sub>
            <m:r>
              <w:rPr>
                <w:rFonts w:ascii="Cambria Math" w:hAnsi="Cambria Math" w:cs="Times New Roman"/>
                <w:sz w:val="24"/>
                <w:szCs w:val="24"/>
              </w:rPr>
              <m:t>j</m:t>
            </m:r>
          </m:sub>
          <m:sup>
            <m:r>
              <w:rPr>
                <w:rFonts w:ascii="Cambria Math" w:hAnsi="Cambria Math" w:cs="Times New Roman"/>
                <w:sz w:val="24"/>
                <w:szCs w:val="24"/>
              </w:rPr>
              <m:t>´</m:t>
            </m:r>
          </m:sup>
        </m:sSubSup>
      </m:oMath>
      <w:r w:rsidRPr="00427C3A">
        <w:rPr>
          <w:rFonts w:ascii="Times New Roman" w:hAnsi="Times New Roman" w:cs="Times New Roman"/>
          <w:sz w:val="24"/>
          <w:szCs w:val="24"/>
        </w:rPr>
        <w:t xml:space="preserve">  contienen los coeficientes de corto plazo. En tanto que </w:t>
      </w:r>
      <m:oMath>
        <m:r>
          <w:rPr>
            <w:rFonts w:ascii="Cambria Math" w:hAnsi="Cambria Math"/>
            <w:sz w:val="24"/>
            <w:szCs w:val="24"/>
          </w:rPr>
          <m:t>α</m:t>
        </m:r>
      </m:oMath>
      <w:r w:rsidR="004F2156">
        <w:rPr>
          <w:rFonts w:ascii="Times New Roman" w:eastAsiaTheme="minorEastAsia" w:hAnsi="Times New Roman" w:cs="Times New Roman"/>
          <w:sz w:val="24"/>
          <w:szCs w:val="24"/>
        </w:rPr>
        <w:t xml:space="preserve">, </w:t>
      </w:r>
      <m:oMath>
        <m:sSub>
          <m:sSubPr>
            <m:ctrlPr>
              <w:rPr>
                <w:rFonts w:ascii="Cambria Math" w:hAnsi="Cambria Math"/>
                <w:sz w:val="24"/>
                <w:szCs w:val="24"/>
              </w:rPr>
            </m:ctrlPr>
          </m:sSubPr>
          <m:e>
            <m:r>
              <w:rPr>
                <w:rFonts w:ascii="Cambria Math" w:hAnsi="Cambria Math"/>
                <w:sz w:val="24"/>
                <w:szCs w:val="24"/>
              </w:rPr>
              <m:t>u</m:t>
            </m:r>
          </m:e>
          <m:sub>
            <m:r>
              <w:rPr>
                <w:rFonts w:ascii="Cambria Math" w:hAnsi="Cambria Math"/>
                <w:sz w:val="24"/>
                <w:szCs w:val="24"/>
              </w:rPr>
              <m:t>t</m:t>
            </m:r>
          </m:sub>
        </m:sSub>
      </m:oMath>
      <w:r w:rsidR="004F2156">
        <w:rPr>
          <w:rFonts w:ascii="Times New Roman" w:eastAsiaTheme="minorEastAsia" w:hAnsi="Times New Roman" w:cs="Times New Roman"/>
          <w:sz w:val="24"/>
          <w:szCs w:val="24"/>
        </w:rPr>
        <w:t xml:space="preserve"> y </w:t>
      </w:r>
      <m:oMath>
        <m:r>
          <w:rPr>
            <w:rFonts w:ascii="Cambria Math" w:hAnsi="Cambria Math" w:cs="Times New Roman"/>
            <w:sz w:val="24"/>
            <w:szCs w:val="24"/>
          </w:rPr>
          <m:t>Δ</m:t>
        </m:r>
      </m:oMath>
      <w:r w:rsidR="004F2156" w:rsidRPr="00427C3A">
        <w:rPr>
          <w:rFonts w:ascii="Times New Roman" w:hAnsi="Times New Roman" w:cs="Times New Roman"/>
          <w:sz w:val="24"/>
          <w:szCs w:val="24"/>
        </w:rPr>
        <w:t xml:space="preserve"> constituye</w:t>
      </w:r>
      <w:r w:rsidR="00440A58">
        <w:rPr>
          <w:rFonts w:ascii="Times New Roman" w:hAnsi="Times New Roman" w:cs="Times New Roman"/>
          <w:sz w:val="24"/>
          <w:szCs w:val="24"/>
        </w:rPr>
        <w:t>n</w:t>
      </w:r>
      <w:r w:rsidR="004F2156">
        <w:rPr>
          <w:rFonts w:ascii="Times New Roman" w:hAnsi="Times New Roman" w:cs="Times New Roman"/>
          <w:sz w:val="24"/>
          <w:szCs w:val="24"/>
        </w:rPr>
        <w:t xml:space="preserve">, respectivamente, </w:t>
      </w:r>
      <w:r w:rsidRPr="00427C3A">
        <w:rPr>
          <w:rFonts w:ascii="Times New Roman" w:hAnsi="Times New Roman" w:cs="Times New Roman"/>
          <w:sz w:val="24"/>
          <w:szCs w:val="24"/>
        </w:rPr>
        <w:t>el coeficiente de velocidad de ajuste</w:t>
      </w:r>
      <w:r w:rsidR="004F2156">
        <w:rPr>
          <w:rFonts w:ascii="Times New Roman" w:hAnsi="Times New Roman" w:cs="Times New Roman"/>
          <w:sz w:val="24"/>
          <w:szCs w:val="24"/>
        </w:rPr>
        <w:t xml:space="preserve">, </w:t>
      </w:r>
      <w:r w:rsidRPr="00427C3A">
        <w:rPr>
          <w:rFonts w:ascii="Times New Roman" w:hAnsi="Times New Roman" w:cs="Times New Roman"/>
          <w:sz w:val="24"/>
          <w:szCs w:val="24"/>
        </w:rPr>
        <w:t>el t</w:t>
      </w:r>
      <w:r w:rsidR="00440A58">
        <w:rPr>
          <w:rFonts w:ascii="Times New Roman" w:hAnsi="Times New Roman" w:cs="Times New Roman"/>
          <w:sz w:val="24"/>
          <w:szCs w:val="24"/>
        </w:rPr>
        <w:t>é</w:t>
      </w:r>
      <w:r w:rsidRPr="00427C3A">
        <w:rPr>
          <w:rFonts w:ascii="Times New Roman" w:hAnsi="Times New Roman" w:cs="Times New Roman"/>
          <w:sz w:val="24"/>
          <w:szCs w:val="24"/>
        </w:rPr>
        <w:t>rmino de error del sistema</w:t>
      </w:r>
      <w:r w:rsidR="004F2156">
        <w:rPr>
          <w:rFonts w:ascii="Times New Roman" w:hAnsi="Times New Roman" w:cs="Times New Roman"/>
          <w:sz w:val="24"/>
          <w:szCs w:val="24"/>
        </w:rPr>
        <w:t xml:space="preserve"> y </w:t>
      </w:r>
      <w:r w:rsidR="004F2156" w:rsidRPr="00427C3A">
        <w:rPr>
          <w:rFonts w:ascii="Times New Roman" w:hAnsi="Times New Roman" w:cs="Times New Roman"/>
          <w:sz w:val="24"/>
          <w:szCs w:val="24"/>
        </w:rPr>
        <w:t>el operador de primera diferencia</w:t>
      </w:r>
      <w:r w:rsidRPr="00427C3A">
        <w:rPr>
          <w:rFonts w:ascii="Times New Roman" w:hAnsi="Times New Roman" w:cs="Times New Roman"/>
          <w:sz w:val="24"/>
          <w:szCs w:val="24"/>
        </w:rPr>
        <w:t xml:space="preserve"> (Pesaran </w:t>
      </w:r>
      <w:r w:rsidRPr="00427C3A">
        <w:rPr>
          <w:rFonts w:ascii="Times New Roman" w:hAnsi="Times New Roman" w:cs="Times New Roman"/>
          <w:i/>
          <w:sz w:val="24"/>
          <w:szCs w:val="24"/>
        </w:rPr>
        <w:t>et al</w:t>
      </w:r>
      <w:r w:rsidRPr="00427C3A">
        <w:rPr>
          <w:rFonts w:ascii="Times New Roman" w:hAnsi="Times New Roman" w:cs="Times New Roman"/>
          <w:sz w:val="24"/>
          <w:szCs w:val="24"/>
        </w:rPr>
        <w:t>, 2001).</w:t>
      </w:r>
    </w:p>
    <w:p w14:paraId="280757AE" w14:textId="588239B2" w:rsidR="00A1592F" w:rsidRDefault="00153CF4" w:rsidP="00427C3A">
      <w:pPr>
        <w:spacing w:after="0" w:line="360" w:lineRule="auto"/>
        <w:jc w:val="both"/>
        <w:rPr>
          <w:rFonts w:ascii="Times New Roman" w:eastAsiaTheme="minorEastAsia" w:hAnsi="Times New Roman" w:cs="Times New Roman"/>
          <w:sz w:val="24"/>
          <w:szCs w:val="24"/>
        </w:rPr>
      </w:pPr>
      <w:r>
        <w:rPr>
          <w:rFonts w:ascii="Times New Roman" w:hAnsi="Times New Roman"/>
          <w:sz w:val="24"/>
          <w:szCs w:val="24"/>
        </w:rPr>
        <w:lastRenderedPageBreak/>
        <w:t>S</w:t>
      </w:r>
      <w:r w:rsidR="00427C3A" w:rsidRPr="00427C3A">
        <w:rPr>
          <w:rFonts w:ascii="Times New Roman" w:eastAsiaTheme="minorEastAsia" w:hAnsi="Times New Roman" w:cs="Times New Roman"/>
          <w:sz w:val="24"/>
          <w:szCs w:val="24"/>
        </w:rPr>
        <w:t>e espera</w:t>
      </w:r>
      <w:r>
        <w:rPr>
          <w:rFonts w:ascii="Times New Roman" w:eastAsiaTheme="minorEastAsia" w:hAnsi="Times New Roman" w:cs="Times New Roman"/>
          <w:sz w:val="24"/>
          <w:szCs w:val="24"/>
        </w:rPr>
        <w:t xml:space="preserve"> que </w:t>
      </w:r>
      <w:r w:rsidR="00994091">
        <w:rPr>
          <w:rFonts w:ascii="Times New Roman" w:eastAsiaTheme="minorEastAsia" w:hAnsi="Times New Roman" w:cs="Times New Roman"/>
          <w:sz w:val="24"/>
          <w:szCs w:val="24"/>
        </w:rPr>
        <w:t xml:space="preserve">un </w:t>
      </w:r>
      <w:r w:rsidR="004D1A53">
        <w:rPr>
          <w:rFonts w:ascii="Times New Roman" w:eastAsiaTheme="minorEastAsia" w:hAnsi="Times New Roman" w:cs="Times New Roman"/>
          <w:sz w:val="24"/>
          <w:szCs w:val="24"/>
        </w:rPr>
        <w:t>incremento d</w:t>
      </w:r>
      <w:r w:rsidR="00994091">
        <w:rPr>
          <w:rFonts w:ascii="Times New Roman" w:eastAsiaTheme="minorEastAsia" w:hAnsi="Times New Roman" w:cs="Times New Roman"/>
          <w:sz w:val="24"/>
          <w:szCs w:val="24"/>
        </w:rPr>
        <w:t>el monto y tamaño de la deuda</w:t>
      </w:r>
      <w:r w:rsidR="000F34D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indu</w:t>
      </w:r>
      <w:r w:rsidR="004D1A53">
        <w:rPr>
          <w:rFonts w:ascii="Times New Roman" w:eastAsiaTheme="minorEastAsia" w:hAnsi="Times New Roman" w:cs="Times New Roman"/>
          <w:sz w:val="24"/>
          <w:szCs w:val="24"/>
        </w:rPr>
        <w:t>cirá</w:t>
      </w:r>
      <w:r w:rsidR="006E58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primero, </w:t>
      </w:r>
      <w:r w:rsidR="00C046F0">
        <w:rPr>
          <w:rFonts w:ascii="Times New Roman" w:eastAsiaTheme="minorEastAsia" w:hAnsi="Times New Roman" w:cs="Times New Roman"/>
          <w:sz w:val="24"/>
          <w:szCs w:val="24"/>
        </w:rPr>
        <w:t xml:space="preserve">un aumento de los precios, lo </w:t>
      </w:r>
      <w:r w:rsidR="003607DE">
        <w:rPr>
          <w:rFonts w:ascii="Times New Roman" w:eastAsiaTheme="minorEastAsia" w:hAnsi="Times New Roman" w:cs="Times New Roman"/>
          <w:sz w:val="24"/>
          <w:szCs w:val="24"/>
        </w:rPr>
        <w:t>que</w:t>
      </w:r>
      <w:r w:rsidR="00D1322A">
        <w:rPr>
          <w:rFonts w:ascii="Times New Roman" w:eastAsiaTheme="minorEastAsia" w:hAnsi="Times New Roman" w:cs="Times New Roman"/>
          <w:sz w:val="24"/>
          <w:szCs w:val="24"/>
        </w:rPr>
        <w:t xml:space="preserve"> </w:t>
      </w:r>
      <w:r w:rsidR="00996C42">
        <w:rPr>
          <w:rFonts w:ascii="Times New Roman" w:eastAsiaTheme="minorEastAsia" w:hAnsi="Times New Roman" w:cs="Times New Roman"/>
          <w:sz w:val="24"/>
          <w:szCs w:val="24"/>
        </w:rPr>
        <w:t>apoyaría la conjetura</w:t>
      </w:r>
      <w:r w:rsidR="00E219B4">
        <w:rPr>
          <w:rFonts w:ascii="Times New Roman" w:eastAsiaTheme="minorEastAsia" w:hAnsi="Times New Roman" w:cs="Times New Roman"/>
          <w:sz w:val="24"/>
          <w:szCs w:val="24"/>
        </w:rPr>
        <w:t xml:space="preserve"> q</w:t>
      </w:r>
      <w:r w:rsidR="00C046F0">
        <w:rPr>
          <w:rFonts w:ascii="Times New Roman" w:eastAsiaTheme="minorEastAsia" w:hAnsi="Times New Roman" w:cs="Times New Roman"/>
          <w:sz w:val="24"/>
          <w:szCs w:val="24"/>
        </w:rPr>
        <w:t>ue</w:t>
      </w:r>
      <w:r w:rsidR="00E219B4">
        <w:rPr>
          <w:rFonts w:ascii="Times New Roman" w:eastAsiaTheme="minorEastAsia" w:hAnsi="Times New Roman" w:cs="Times New Roman"/>
          <w:sz w:val="24"/>
          <w:szCs w:val="24"/>
        </w:rPr>
        <w:t xml:space="preserve"> </w:t>
      </w:r>
      <w:r w:rsidR="004D1A53">
        <w:rPr>
          <w:rFonts w:ascii="Times New Roman" w:eastAsiaTheme="minorEastAsia" w:hAnsi="Times New Roman" w:cs="Times New Roman"/>
          <w:sz w:val="24"/>
          <w:szCs w:val="24"/>
        </w:rPr>
        <w:t>la expansión d</w:t>
      </w:r>
      <w:r w:rsidR="00996C42">
        <w:rPr>
          <w:rFonts w:ascii="Times New Roman" w:eastAsiaTheme="minorEastAsia" w:hAnsi="Times New Roman" w:cs="Times New Roman"/>
          <w:sz w:val="24"/>
          <w:szCs w:val="24"/>
        </w:rPr>
        <w:t>el balance de</w:t>
      </w:r>
      <w:r w:rsidR="009758E6">
        <w:rPr>
          <w:rFonts w:ascii="Times New Roman" w:eastAsiaTheme="minorEastAsia" w:hAnsi="Times New Roman" w:cs="Times New Roman"/>
          <w:sz w:val="24"/>
          <w:szCs w:val="24"/>
        </w:rPr>
        <w:t xml:space="preserve"> </w:t>
      </w:r>
      <w:r w:rsidR="00996C42">
        <w:rPr>
          <w:rFonts w:ascii="Times New Roman" w:eastAsiaTheme="minorEastAsia" w:hAnsi="Times New Roman" w:cs="Times New Roman"/>
          <w:sz w:val="24"/>
          <w:szCs w:val="24"/>
        </w:rPr>
        <w:t>la F</w:t>
      </w:r>
      <w:r w:rsidR="009758E6">
        <w:rPr>
          <w:rFonts w:ascii="Times New Roman" w:eastAsiaTheme="minorEastAsia" w:hAnsi="Times New Roman" w:cs="Times New Roman"/>
          <w:sz w:val="24"/>
          <w:szCs w:val="24"/>
        </w:rPr>
        <w:t>ed</w:t>
      </w:r>
      <w:r w:rsidR="00996C42">
        <w:rPr>
          <w:rFonts w:ascii="Times New Roman" w:eastAsiaTheme="minorEastAsia" w:hAnsi="Times New Roman" w:cs="Times New Roman"/>
          <w:sz w:val="24"/>
          <w:szCs w:val="24"/>
        </w:rPr>
        <w:t xml:space="preserve"> se ha constituido como </w:t>
      </w:r>
      <w:r w:rsidR="003607DE">
        <w:rPr>
          <w:rFonts w:ascii="Times New Roman" w:eastAsiaTheme="minorEastAsia" w:hAnsi="Times New Roman" w:cs="Times New Roman"/>
          <w:sz w:val="24"/>
          <w:szCs w:val="24"/>
        </w:rPr>
        <w:t xml:space="preserve">mecanismo para </w:t>
      </w:r>
      <w:r w:rsidR="003607DE" w:rsidRPr="003607DE">
        <w:rPr>
          <w:rFonts w:ascii="Times New Roman" w:eastAsiaTheme="minorEastAsia" w:hAnsi="Times New Roman" w:cs="Times New Roman"/>
          <w:sz w:val="24"/>
          <w:szCs w:val="24"/>
        </w:rPr>
        <w:t>revertir</w:t>
      </w:r>
      <w:r w:rsidR="003607DE">
        <w:rPr>
          <w:rFonts w:ascii="Times New Roman" w:eastAsiaTheme="minorEastAsia" w:hAnsi="Times New Roman" w:cs="Times New Roman"/>
          <w:sz w:val="24"/>
          <w:szCs w:val="24"/>
        </w:rPr>
        <w:t xml:space="preserve"> </w:t>
      </w:r>
      <w:r w:rsidR="00C046F0">
        <w:rPr>
          <w:rFonts w:ascii="Times New Roman" w:eastAsiaTheme="minorEastAsia" w:hAnsi="Times New Roman" w:cs="Times New Roman"/>
          <w:sz w:val="24"/>
          <w:szCs w:val="24"/>
        </w:rPr>
        <w:t xml:space="preserve">el proceso de deflación </w:t>
      </w:r>
      <w:r w:rsidR="008A6912">
        <w:rPr>
          <w:rFonts w:ascii="Times New Roman" w:eastAsiaTheme="minorEastAsia" w:hAnsi="Times New Roman" w:cs="Times New Roman"/>
          <w:sz w:val="24"/>
          <w:szCs w:val="24"/>
        </w:rPr>
        <w:t>en</w:t>
      </w:r>
      <w:r w:rsidR="00C046F0">
        <w:rPr>
          <w:rFonts w:ascii="Times New Roman" w:eastAsiaTheme="minorEastAsia" w:hAnsi="Times New Roman" w:cs="Times New Roman"/>
          <w:sz w:val="24"/>
          <w:szCs w:val="24"/>
        </w:rPr>
        <w:t xml:space="preserve"> Estados Unidos</w:t>
      </w:r>
      <w:r w:rsidR="003607DE">
        <w:rPr>
          <w:rFonts w:ascii="Times New Roman" w:eastAsiaTheme="minorEastAsia" w:hAnsi="Times New Roman" w:cs="Times New Roman"/>
          <w:sz w:val="24"/>
          <w:szCs w:val="24"/>
        </w:rPr>
        <w:t xml:space="preserve">, especialmente </w:t>
      </w:r>
      <w:r w:rsidR="00C046F0">
        <w:rPr>
          <w:rFonts w:ascii="Times New Roman" w:eastAsiaTheme="minorEastAsia" w:hAnsi="Times New Roman" w:cs="Times New Roman"/>
          <w:sz w:val="24"/>
          <w:szCs w:val="24"/>
        </w:rPr>
        <w:t xml:space="preserve">desde la </w:t>
      </w:r>
      <w:r w:rsidR="00C046F0" w:rsidRPr="00C046F0">
        <w:rPr>
          <w:rFonts w:ascii="Times New Roman" w:eastAsiaTheme="minorEastAsia" w:hAnsi="Times New Roman" w:cs="Times New Roman"/>
          <w:i/>
          <w:iCs/>
          <w:sz w:val="24"/>
          <w:szCs w:val="24"/>
        </w:rPr>
        <w:t xml:space="preserve">crisis </w:t>
      </w:r>
      <w:proofErr w:type="spellStart"/>
      <w:r w:rsidR="00C046F0" w:rsidRPr="00C046F0">
        <w:rPr>
          <w:rFonts w:ascii="Times New Roman" w:eastAsiaTheme="minorEastAsia" w:hAnsi="Times New Roman" w:cs="Times New Roman"/>
          <w:i/>
          <w:iCs/>
          <w:sz w:val="24"/>
          <w:szCs w:val="24"/>
        </w:rPr>
        <w:t>subprime</w:t>
      </w:r>
      <w:proofErr w:type="spellEnd"/>
      <w:r w:rsidR="00C046F0">
        <w:rPr>
          <w:rFonts w:ascii="Times New Roman" w:eastAsiaTheme="minorEastAsia" w:hAnsi="Times New Roman" w:cs="Times New Roman"/>
          <w:sz w:val="24"/>
          <w:szCs w:val="24"/>
        </w:rPr>
        <w:t xml:space="preserve"> de 2008; segundo, </w:t>
      </w:r>
      <w:r w:rsidR="006E580B">
        <w:rPr>
          <w:rFonts w:ascii="Times New Roman" w:eastAsiaTheme="minorEastAsia" w:hAnsi="Times New Roman" w:cs="Times New Roman"/>
          <w:sz w:val="24"/>
          <w:szCs w:val="24"/>
        </w:rPr>
        <w:t>un</w:t>
      </w:r>
      <w:r w:rsidR="008A6912">
        <w:rPr>
          <w:rFonts w:ascii="Times New Roman" w:eastAsiaTheme="minorEastAsia" w:hAnsi="Times New Roman" w:cs="Times New Roman"/>
          <w:sz w:val="24"/>
          <w:szCs w:val="24"/>
        </w:rPr>
        <w:t xml:space="preserve"> impacto significativo </w:t>
      </w:r>
      <w:r w:rsidR="00996C42">
        <w:rPr>
          <w:rFonts w:ascii="Times New Roman" w:eastAsiaTheme="minorEastAsia" w:hAnsi="Times New Roman" w:cs="Times New Roman"/>
          <w:sz w:val="24"/>
          <w:szCs w:val="24"/>
        </w:rPr>
        <w:t>en</w:t>
      </w:r>
      <w:r w:rsidR="008A6912">
        <w:rPr>
          <w:rFonts w:ascii="Times New Roman" w:eastAsiaTheme="minorEastAsia" w:hAnsi="Times New Roman" w:cs="Times New Roman"/>
          <w:sz w:val="24"/>
          <w:szCs w:val="24"/>
        </w:rPr>
        <w:t xml:space="preserve"> la dinámica </w:t>
      </w:r>
      <w:r w:rsidR="006E580B">
        <w:rPr>
          <w:rFonts w:ascii="Times New Roman" w:eastAsiaTheme="minorEastAsia" w:hAnsi="Times New Roman" w:cs="Times New Roman"/>
          <w:sz w:val="24"/>
          <w:szCs w:val="24"/>
        </w:rPr>
        <w:t xml:space="preserve">del mercado </w:t>
      </w:r>
      <w:r w:rsidR="00A1592F">
        <w:rPr>
          <w:rFonts w:ascii="Times New Roman" w:eastAsiaTheme="minorEastAsia" w:hAnsi="Times New Roman" w:cs="Times New Roman"/>
          <w:sz w:val="24"/>
          <w:szCs w:val="24"/>
        </w:rPr>
        <w:t>capitales</w:t>
      </w:r>
      <w:r w:rsidR="003607DE">
        <w:rPr>
          <w:rFonts w:ascii="Times New Roman" w:eastAsiaTheme="minorEastAsia" w:hAnsi="Times New Roman" w:cs="Times New Roman"/>
          <w:sz w:val="24"/>
          <w:szCs w:val="24"/>
        </w:rPr>
        <w:t xml:space="preserve">, </w:t>
      </w:r>
      <w:r w:rsidR="00BB58E4">
        <w:rPr>
          <w:rFonts w:ascii="Times New Roman" w:eastAsiaTheme="minorEastAsia" w:hAnsi="Times New Roman" w:cs="Times New Roman"/>
          <w:sz w:val="24"/>
          <w:szCs w:val="24"/>
        </w:rPr>
        <w:t xml:space="preserve">lo cual </w:t>
      </w:r>
      <w:r w:rsidR="00A1592F">
        <w:rPr>
          <w:rFonts w:ascii="Times New Roman" w:eastAsiaTheme="minorEastAsia" w:hAnsi="Times New Roman" w:cs="Times New Roman"/>
          <w:sz w:val="24"/>
          <w:szCs w:val="24"/>
        </w:rPr>
        <w:t xml:space="preserve">respaldaría </w:t>
      </w:r>
      <w:r w:rsidR="00BB58E4">
        <w:rPr>
          <w:rFonts w:ascii="Times New Roman" w:eastAsiaTheme="minorEastAsia" w:hAnsi="Times New Roman" w:cs="Times New Roman"/>
          <w:sz w:val="24"/>
          <w:szCs w:val="24"/>
        </w:rPr>
        <w:t xml:space="preserve">la perspectiva </w:t>
      </w:r>
      <w:r w:rsidR="000F34D9">
        <w:rPr>
          <w:rFonts w:ascii="Times New Roman" w:eastAsiaTheme="minorEastAsia" w:hAnsi="Times New Roman" w:cs="Times New Roman"/>
          <w:sz w:val="24"/>
          <w:szCs w:val="24"/>
        </w:rPr>
        <w:t>de</w:t>
      </w:r>
      <w:r w:rsidR="00BB58E4">
        <w:rPr>
          <w:rFonts w:ascii="Times New Roman" w:eastAsiaTheme="minorEastAsia" w:hAnsi="Times New Roman" w:cs="Times New Roman"/>
          <w:sz w:val="24"/>
          <w:szCs w:val="24"/>
        </w:rPr>
        <w:t xml:space="preserve"> </w:t>
      </w:r>
      <w:r w:rsidR="008F37EC">
        <w:rPr>
          <w:rFonts w:ascii="Times New Roman" w:eastAsiaTheme="minorEastAsia" w:hAnsi="Times New Roman" w:cs="Times New Roman"/>
          <w:sz w:val="24"/>
          <w:szCs w:val="24"/>
        </w:rPr>
        <w:t xml:space="preserve">que </w:t>
      </w:r>
      <w:r w:rsidR="001E75D3">
        <w:rPr>
          <w:rFonts w:ascii="Times New Roman" w:eastAsiaTheme="minorEastAsia" w:hAnsi="Times New Roman" w:cs="Times New Roman"/>
          <w:sz w:val="24"/>
          <w:szCs w:val="24"/>
        </w:rPr>
        <w:t xml:space="preserve">la expansión de la </w:t>
      </w:r>
      <w:r w:rsidR="00A1592F">
        <w:rPr>
          <w:rFonts w:ascii="Times New Roman" w:eastAsiaTheme="minorEastAsia" w:hAnsi="Times New Roman" w:cs="Times New Roman"/>
          <w:sz w:val="24"/>
          <w:szCs w:val="24"/>
        </w:rPr>
        <w:t>deuda federal (con ello de la hoja de balance) estaría orientada en</w:t>
      </w:r>
      <w:r w:rsidR="001E75D3">
        <w:rPr>
          <w:rFonts w:ascii="Times New Roman" w:eastAsiaTheme="minorEastAsia" w:hAnsi="Times New Roman" w:cs="Times New Roman"/>
          <w:sz w:val="24"/>
          <w:szCs w:val="24"/>
        </w:rPr>
        <w:t xml:space="preserve"> contener los desajustes </w:t>
      </w:r>
      <w:r w:rsidR="001E75D3" w:rsidRPr="00996C42">
        <w:rPr>
          <w:rFonts w:ascii="Times New Roman" w:eastAsiaTheme="minorEastAsia" w:hAnsi="Times New Roman" w:cs="Times New Roman"/>
          <w:sz w:val="24"/>
          <w:szCs w:val="24"/>
        </w:rPr>
        <w:t>del sistema financiero</w:t>
      </w:r>
      <w:r w:rsidR="001E75D3">
        <w:rPr>
          <w:rFonts w:ascii="Times New Roman" w:eastAsiaTheme="minorEastAsia" w:hAnsi="Times New Roman" w:cs="Times New Roman"/>
          <w:sz w:val="24"/>
          <w:szCs w:val="24"/>
        </w:rPr>
        <w:t xml:space="preserve"> (proveer liquidez y amortiguar la volatilidad); no obstante, </w:t>
      </w:r>
      <w:r w:rsidR="00A1592F">
        <w:rPr>
          <w:rFonts w:ascii="Times New Roman" w:eastAsiaTheme="minorEastAsia" w:hAnsi="Times New Roman" w:cs="Times New Roman"/>
          <w:sz w:val="24"/>
          <w:szCs w:val="24"/>
        </w:rPr>
        <w:t xml:space="preserve">esta condición también podría generar una sobrevaluación bursátil y, por ende, una corrección abrupta de la bolsa de valores. </w:t>
      </w:r>
    </w:p>
    <w:p w14:paraId="03CB291D" w14:textId="77777777" w:rsidR="00427C3A" w:rsidRPr="00427C3A" w:rsidRDefault="00427C3A" w:rsidP="00440A58">
      <w:pPr>
        <w:spacing w:after="0" w:line="360" w:lineRule="auto"/>
        <w:ind w:firstLine="708"/>
        <w:jc w:val="both"/>
        <w:rPr>
          <w:rFonts w:ascii="Times New Roman" w:hAnsi="Times New Roman" w:cs="Times New Roman"/>
          <w:sz w:val="24"/>
          <w:szCs w:val="24"/>
        </w:rPr>
      </w:pPr>
      <w:r w:rsidRPr="00427C3A">
        <w:rPr>
          <w:rFonts w:ascii="Times New Roman" w:eastAsiaTheme="minorEastAsia" w:hAnsi="Times New Roman" w:cs="Times New Roman"/>
          <w:sz w:val="24"/>
          <w:szCs w:val="24"/>
        </w:rPr>
        <w:t xml:space="preserve">Alguna de las ventajas del uso de la metodología </w:t>
      </w:r>
      <w:r w:rsidRPr="00427C3A">
        <w:rPr>
          <w:rFonts w:ascii="Times New Roman" w:eastAsiaTheme="minorEastAsia" w:hAnsi="Times New Roman" w:cs="Times New Roman"/>
          <w:i/>
          <w:iCs/>
          <w:sz w:val="24"/>
          <w:szCs w:val="24"/>
        </w:rPr>
        <w:t>ARDL</w:t>
      </w:r>
      <w:r w:rsidRPr="00427C3A">
        <w:rPr>
          <w:rFonts w:ascii="Times New Roman" w:eastAsiaTheme="minorEastAsia" w:hAnsi="Times New Roman" w:cs="Times New Roman"/>
          <w:sz w:val="24"/>
          <w:szCs w:val="24"/>
        </w:rPr>
        <w:t xml:space="preserve"> dentro del análisis multivariado de series de tiempo, entre ellas: i) admite la combinación de variables con distinto orden de integración en el sistema, evitando con ello el problema asociado con el análisis de cointegración estándar; </w:t>
      </w:r>
      <w:proofErr w:type="spellStart"/>
      <w:r w:rsidRPr="00427C3A">
        <w:rPr>
          <w:rFonts w:ascii="Times New Roman" w:eastAsiaTheme="minorEastAsia" w:hAnsi="Times New Roman" w:cs="Times New Roman"/>
          <w:sz w:val="24"/>
          <w:szCs w:val="24"/>
        </w:rPr>
        <w:t>ii</w:t>
      </w:r>
      <w:proofErr w:type="spellEnd"/>
      <w:r w:rsidRPr="00427C3A">
        <w:rPr>
          <w:rFonts w:ascii="Times New Roman" w:eastAsiaTheme="minorEastAsia" w:hAnsi="Times New Roman" w:cs="Times New Roman"/>
          <w:sz w:val="24"/>
          <w:szCs w:val="24"/>
        </w:rPr>
        <w:t xml:space="preserve">) produce estimaciones no sesgadas de los coeficientes de largo plazo, a pesar de que las variables del sistema sean endógenas; </w:t>
      </w:r>
      <w:proofErr w:type="spellStart"/>
      <w:r w:rsidRPr="00427C3A">
        <w:rPr>
          <w:rFonts w:ascii="Times New Roman" w:eastAsiaTheme="minorEastAsia" w:hAnsi="Times New Roman" w:cs="Times New Roman"/>
          <w:sz w:val="24"/>
          <w:szCs w:val="24"/>
        </w:rPr>
        <w:t>iii</w:t>
      </w:r>
      <w:proofErr w:type="spellEnd"/>
      <w:r w:rsidRPr="00427C3A">
        <w:rPr>
          <w:rFonts w:ascii="Times New Roman" w:eastAsiaTheme="minorEastAsia" w:hAnsi="Times New Roman" w:cs="Times New Roman"/>
          <w:sz w:val="24"/>
          <w:szCs w:val="24"/>
        </w:rPr>
        <w:t>) los estimadores son eficientes y consistentes aún con  muestras pequeñas</w:t>
      </w:r>
      <w:r w:rsidRPr="00427C3A">
        <w:rPr>
          <w:rFonts w:ascii="Times New Roman" w:hAnsi="Times New Roman" w:cs="Times New Roman"/>
          <w:sz w:val="24"/>
          <w:szCs w:val="24"/>
          <w:lang w:val="es-ES_tradnl"/>
        </w:rPr>
        <w:t xml:space="preserve"> </w:t>
      </w:r>
      <w:r w:rsidRPr="00427C3A">
        <w:rPr>
          <w:rFonts w:ascii="Times New Roman" w:hAnsi="Times New Roman" w:cs="Times New Roman"/>
          <w:sz w:val="24"/>
          <w:szCs w:val="24"/>
        </w:rPr>
        <w:t xml:space="preserve">(Pesaran </w:t>
      </w:r>
      <w:r w:rsidRPr="00427C3A">
        <w:rPr>
          <w:rFonts w:ascii="Times New Roman" w:hAnsi="Times New Roman" w:cs="Times New Roman"/>
          <w:i/>
          <w:sz w:val="24"/>
          <w:szCs w:val="24"/>
        </w:rPr>
        <w:t>et al</w:t>
      </w:r>
      <w:r w:rsidRPr="00427C3A">
        <w:rPr>
          <w:rFonts w:ascii="Times New Roman" w:hAnsi="Times New Roman" w:cs="Times New Roman"/>
          <w:sz w:val="24"/>
          <w:szCs w:val="24"/>
        </w:rPr>
        <w:t>, 2001).</w:t>
      </w:r>
    </w:p>
    <w:p w14:paraId="78F87BE4" w14:textId="70B51ABA" w:rsidR="002D1F70" w:rsidRPr="00427C3A" w:rsidRDefault="002D1F70" w:rsidP="00427C3A">
      <w:pPr>
        <w:spacing w:after="0" w:line="360" w:lineRule="auto"/>
        <w:jc w:val="both"/>
        <w:rPr>
          <w:rFonts w:ascii="Times New Roman" w:hAnsi="Times New Roman" w:cs="Times New Roman"/>
          <w:b/>
          <w:bCs/>
          <w:sz w:val="24"/>
          <w:szCs w:val="24"/>
        </w:rPr>
      </w:pPr>
      <w:r w:rsidRPr="00427C3A">
        <w:rPr>
          <w:rFonts w:ascii="Times New Roman" w:hAnsi="Times New Roman" w:cs="Times New Roman"/>
          <w:b/>
          <w:bCs/>
          <w:sz w:val="24"/>
          <w:szCs w:val="24"/>
        </w:rPr>
        <w:t>3.3</w:t>
      </w:r>
      <w:r w:rsidR="00A2537C">
        <w:rPr>
          <w:rFonts w:ascii="Times New Roman" w:hAnsi="Times New Roman" w:cs="Times New Roman"/>
          <w:b/>
          <w:bCs/>
          <w:sz w:val="24"/>
          <w:szCs w:val="24"/>
        </w:rPr>
        <w:t>.</w:t>
      </w:r>
      <w:r w:rsidRPr="00427C3A">
        <w:rPr>
          <w:rFonts w:ascii="Times New Roman" w:hAnsi="Times New Roman" w:cs="Times New Roman"/>
          <w:b/>
          <w:bCs/>
          <w:sz w:val="24"/>
          <w:szCs w:val="24"/>
        </w:rPr>
        <w:t xml:space="preserve"> </w:t>
      </w:r>
      <w:r w:rsidR="00427C3A">
        <w:rPr>
          <w:rFonts w:ascii="Times New Roman" w:hAnsi="Times New Roman" w:cs="Times New Roman"/>
          <w:b/>
          <w:bCs/>
          <w:sz w:val="24"/>
          <w:szCs w:val="24"/>
        </w:rPr>
        <w:t xml:space="preserve">Política monetaria y deuda. </w:t>
      </w:r>
      <w:r w:rsidRPr="00427C3A">
        <w:rPr>
          <w:rFonts w:ascii="Times New Roman" w:hAnsi="Times New Roman" w:cs="Times New Roman"/>
          <w:b/>
          <w:bCs/>
          <w:sz w:val="24"/>
          <w:szCs w:val="24"/>
        </w:rPr>
        <w:t>Análisis e interpretación resultados</w:t>
      </w:r>
    </w:p>
    <w:p w14:paraId="0A1B35A5" w14:textId="40B680C8" w:rsidR="00427C3A" w:rsidRPr="00A2537C" w:rsidRDefault="00427C3A" w:rsidP="00427C3A">
      <w:pPr>
        <w:spacing w:after="0" w:line="360" w:lineRule="auto"/>
        <w:jc w:val="both"/>
        <w:rPr>
          <w:rFonts w:ascii="Times New Roman" w:hAnsi="Times New Roman" w:cs="Times New Roman"/>
          <w:sz w:val="24"/>
          <w:szCs w:val="24"/>
        </w:rPr>
      </w:pPr>
      <w:r w:rsidRPr="00427C3A">
        <w:rPr>
          <w:rFonts w:ascii="Times New Roman" w:hAnsi="Times New Roman" w:cs="Times New Roman"/>
          <w:sz w:val="24"/>
          <w:szCs w:val="24"/>
        </w:rPr>
        <w:t>El estudio recoge datos trimestrales</w:t>
      </w:r>
      <w:r w:rsidR="00393601">
        <w:rPr>
          <w:rFonts w:ascii="Times New Roman" w:hAnsi="Times New Roman" w:cs="Times New Roman"/>
          <w:sz w:val="24"/>
          <w:szCs w:val="24"/>
        </w:rPr>
        <w:t xml:space="preserve"> de Estados Unidos</w:t>
      </w:r>
      <w:r w:rsidRPr="00427C3A">
        <w:rPr>
          <w:rFonts w:ascii="Times New Roman" w:hAnsi="Times New Roman" w:cs="Times New Roman"/>
          <w:sz w:val="24"/>
          <w:szCs w:val="24"/>
        </w:rPr>
        <w:t>, entre 200</w:t>
      </w:r>
      <w:r w:rsidR="00393601">
        <w:rPr>
          <w:rFonts w:ascii="Times New Roman" w:hAnsi="Times New Roman" w:cs="Times New Roman"/>
          <w:sz w:val="24"/>
          <w:szCs w:val="24"/>
        </w:rPr>
        <w:t>0</w:t>
      </w:r>
      <w:r w:rsidRPr="00427C3A">
        <w:rPr>
          <w:rFonts w:ascii="Times New Roman" w:hAnsi="Times New Roman" w:cs="Times New Roman"/>
          <w:sz w:val="24"/>
          <w:szCs w:val="24"/>
        </w:rPr>
        <w:t xml:space="preserve"> y 20</w:t>
      </w:r>
      <w:r w:rsidR="002375AE">
        <w:rPr>
          <w:rFonts w:ascii="Times New Roman" w:hAnsi="Times New Roman" w:cs="Times New Roman"/>
          <w:sz w:val="24"/>
          <w:szCs w:val="24"/>
        </w:rPr>
        <w:t>20</w:t>
      </w:r>
      <w:r w:rsidRPr="00427C3A">
        <w:rPr>
          <w:rFonts w:ascii="Times New Roman" w:hAnsi="Times New Roman" w:cs="Times New Roman"/>
          <w:sz w:val="24"/>
          <w:szCs w:val="24"/>
        </w:rPr>
        <w:t xml:space="preserve">, </w:t>
      </w:r>
      <w:r w:rsidR="00393601">
        <w:rPr>
          <w:rFonts w:ascii="Times New Roman" w:hAnsi="Times New Roman" w:cs="Times New Roman"/>
          <w:sz w:val="24"/>
          <w:szCs w:val="24"/>
        </w:rPr>
        <w:t xml:space="preserve">sobre </w:t>
      </w:r>
      <w:r w:rsidR="007A0D0E">
        <w:rPr>
          <w:rFonts w:ascii="Times New Roman" w:hAnsi="Times New Roman" w:cs="Times New Roman"/>
          <w:sz w:val="24"/>
          <w:szCs w:val="24"/>
        </w:rPr>
        <w:t xml:space="preserve">productividad laboral, acervo de capital, </w:t>
      </w:r>
      <w:r w:rsidR="00393601">
        <w:rPr>
          <w:rFonts w:ascii="Times New Roman" w:hAnsi="Times New Roman" w:cs="Times New Roman"/>
          <w:sz w:val="24"/>
          <w:szCs w:val="24"/>
        </w:rPr>
        <w:t xml:space="preserve">tasa de interés, índice de precios al consumidor, </w:t>
      </w:r>
      <w:r w:rsidRPr="00427C3A">
        <w:rPr>
          <w:rFonts w:ascii="Times New Roman" w:hAnsi="Times New Roman" w:cs="Times New Roman"/>
          <w:sz w:val="24"/>
          <w:szCs w:val="24"/>
        </w:rPr>
        <w:t>Producto Interno Bruto</w:t>
      </w:r>
      <w:r w:rsidR="00393601">
        <w:rPr>
          <w:rFonts w:ascii="Times New Roman" w:hAnsi="Times New Roman" w:cs="Times New Roman"/>
          <w:sz w:val="24"/>
          <w:szCs w:val="24"/>
        </w:rPr>
        <w:t xml:space="preserve">, deuda, </w:t>
      </w:r>
      <w:r w:rsidR="007A0D0E">
        <w:rPr>
          <w:rFonts w:ascii="Times New Roman" w:hAnsi="Times New Roman" w:cs="Times New Roman"/>
          <w:sz w:val="24"/>
          <w:szCs w:val="24"/>
        </w:rPr>
        <w:t>oferta monetaria (agregado M1)</w:t>
      </w:r>
      <w:r w:rsidR="00393601">
        <w:rPr>
          <w:rFonts w:ascii="Times New Roman" w:hAnsi="Times New Roman" w:cs="Times New Roman"/>
          <w:sz w:val="24"/>
          <w:szCs w:val="24"/>
        </w:rPr>
        <w:t>, índice bursátil y tipo de cambio</w:t>
      </w:r>
      <w:r w:rsidRPr="00427C3A">
        <w:rPr>
          <w:rFonts w:ascii="Times New Roman" w:hAnsi="Times New Roman" w:cs="Times New Roman"/>
          <w:sz w:val="24"/>
          <w:szCs w:val="24"/>
        </w:rPr>
        <w:t xml:space="preserve">. La información yace en los repositorios estadísticos </w:t>
      </w:r>
      <w:r w:rsidR="007A0D0E" w:rsidRPr="00427C3A">
        <w:rPr>
          <w:rFonts w:ascii="Times New Roman" w:hAnsi="Times New Roman" w:cs="Times New Roman"/>
          <w:sz w:val="24"/>
          <w:szCs w:val="24"/>
        </w:rPr>
        <w:t>del Banco</w:t>
      </w:r>
      <w:r w:rsidRPr="00427C3A">
        <w:rPr>
          <w:rFonts w:ascii="Times New Roman" w:hAnsi="Times New Roman" w:cs="Times New Roman"/>
          <w:sz w:val="24"/>
          <w:szCs w:val="24"/>
        </w:rPr>
        <w:t xml:space="preserve"> de la Reserva Federal</w:t>
      </w:r>
      <w:r w:rsidR="00393601">
        <w:rPr>
          <w:rFonts w:ascii="Times New Roman" w:hAnsi="Times New Roman" w:cs="Times New Roman"/>
          <w:sz w:val="24"/>
          <w:szCs w:val="24"/>
        </w:rPr>
        <w:t xml:space="preserve"> y la O</w:t>
      </w:r>
      <w:r w:rsidR="000A6DC3">
        <w:rPr>
          <w:rFonts w:ascii="Times New Roman" w:hAnsi="Times New Roman" w:cs="Times New Roman"/>
          <w:sz w:val="24"/>
          <w:szCs w:val="24"/>
        </w:rPr>
        <w:t xml:space="preserve">rganización para la </w:t>
      </w:r>
      <w:r w:rsidR="00393601">
        <w:rPr>
          <w:rFonts w:ascii="Times New Roman" w:hAnsi="Times New Roman" w:cs="Times New Roman"/>
          <w:sz w:val="24"/>
          <w:szCs w:val="24"/>
        </w:rPr>
        <w:t>C</w:t>
      </w:r>
      <w:r w:rsidR="000A6DC3">
        <w:rPr>
          <w:rFonts w:ascii="Times New Roman" w:hAnsi="Times New Roman" w:cs="Times New Roman"/>
          <w:sz w:val="24"/>
          <w:szCs w:val="24"/>
        </w:rPr>
        <w:t xml:space="preserve">ooperación </w:t>
      </w:r>
      <w:r w:rsidR="000A6DC3" w:rsidRPr="00A2537C">
        <w:rPr>
          <w:rFonts w:ascii="Times New Roman" w:hAnsi="Times New Roman" w:cs="Times New Roman"/>
          <w:sz w:val="24"/>
          <w:szCs w:val="24"/>
        </w:rPr>
        <w:t xml:space="preserve">y el </w:t>
      </w:r>
      <w:r w:rsidR="00393601" w:rsidRPr="00A2537C">
        <w:rPr>
          <w:rFonts w:ascii="Times New Roman" w:hAnsi="Times New Roman" w:cs="Times New Roman"/>
          <w:sz w:val="24"/>
          <w:szCs w:val="24"/>
        </w:rPr>
        <w:t>D</w:t>
      </w:r>
      <w:r w:rsidR="000A6DC3" w:rsidRPr="00A2537C">
        <w:rPr>
          <w:rFonts w:ascii="Times New Roman" w:hAnsi="Times New Roman" w:cs="Times New Roman"/>
          <w:sz w:val="24"/>
          <w:szCs w:val="24"/>
        </w:rPr>
        <w:t xml:space="preserve">esarrollo </w:t>
      </w:r>
      <w:r w:rsidR="00393601" w:rsidRPr="00A2537C">
        <w:rPr>
          <w:rFonts w:ascii="Times New Roman" w:hAnsi="Times New Roman" w:cs="Times New Roman"/>
          <w:sz w:val="24"/>
          <w:szCs w:val="24"/>
        </w:rPr>
        <w:t>E</w:t>
      </w:r>
      <w:r w:rsidR="000A6DC3" w:rsidRPr="00A2537C">
        <w:rPr>
          <w:rFonts w:ascii="Times New Roman" w:hAnsi="Times New Roman" w:cs="Times New Roman"/>
          <w:sz w:val="24"/>
          <w:szCs w:val="24"/>
        </w:rPr>
        <w:t>conómic</w:t>
      </w:r>
      <w:r w:rsidR="001029EC" w:rsidRPr="00A2537C">
        <w:rPr>
          <w:rFonts w:ascii="Times New Roman" w:hAnsi="Times New Roman" w:cs="Times New Roman"/>
          <w:sz w:val="24"/>
          <w:szCs w:val="24"/>
        </w:rPr>
        <w:t>o (OCDE)</w:t>
      </w:r>
      <w:r w:rsidRPr="00A2537C">
        <w:rPr>
          <w:rFonts w:ascii="Times New Roman" w:hAnsi="Times New Roman" w:cs="Times New Roman"/>
          <w:sz w:val="24"/>
          <w:szCs w:val="24"/>
        </w:rPr>
        <w:t xml:space="preserve">.  </w:t>
      </w:r>
    </w:p>
    <w:p w14:paraId="42A75A3B" w14:textId="381686B4" w:rsidR="001029EC" w:rsidRPr="00A2537C" w:rsidRDefault="00272CC4" w:rsidP="00427C3A">
      <w:pPr>
        <w:spacing w:after="0" w:line="360" w:lineRule="auto"/>
        <w:jc w:val="both"/>
        <w:rPr>
          <w:rFonts w:ascii="Times New Roman" w:hAnsi="Times New Roman" w:cs="Times New Roman"/>
          <w:sz w:val="24"/>
          <w:szCs w:val="24"/>
        </w:rPr>
      </w:pPr>
      <w:r w:rsidRPr="00A2537C">
        <w:rPr>
          <w:rFonts w:ascii="Times New Roman" w:hAnsi="Times New Roman" w:cs="Times New Roman"/>
          <w:sz w:val="24"/>
          <w:szCs w:val="24"/>
        </w:rPr>
        <w:t>S</w:t>
      </w:r>
      <w:r w:rsidR="00D77690" w:rsidRPr="00A2537C">
        <w:rPr>
          <w:rFonts w:ascii="Times New Roman" w:hAnsi="Times New Roman" w:cs="Times New Roman"/>
          <w:sz w:val="24"/>
          <w:szCs w:val="24"/>
        </w:rPr>
        <w:t xml:space="preserve">iguiendo la ecuación (2), </w:t>
      </w:r>
      <w:bookmarkStart w:id="7" w:name="_Hlk69765571"/>
      <w:r w:rsidR="001029EC" w:rsidRPr="00A2537C">
        <w:rPr>
          <w:rFonts w:ascii="Times New Roman" w:hAnsi="Times New Roman" w:cs="Times New Roman"/>
          <w:sz w:val="24"/>
          <w:szCs w:val="24"/>
        </w:rPr>
        <w:t>estima</w:t>
      </w:r>
      <w:r w:rsidR="00A2537C" w:rsidRPr="00A2537C">
        <w:rPr>
          <w:rFonts w:ascii="Times New Roman" w:hAnsi="Times New Roman" w:cs="Times New Roman"/>
          <w:sz w:val="24"/>
          <w:szCs w:val="24"/>
        </w:rPr>
        <w:t>mos</w:t>
      </w:r>
      <w:r w:rsidR="00D77690" w:rsidRPr="00A2537C">
        <w:rPr>
          <w:rFonts w:ascii="Times New Roman" w:hAnsi="Times New Roman" w:cs="Times New Roman"/>
          <w:sz w:val="24"/>
          <w:szCs w:val="24"/>
        </w:rPr>
        <w:t xml:space="preserve"> cuatro </w:t>
      </w:r>
      <w:r w:rsidR="001029EC" w:rsidRPr="00A2537C">
        <w:rPr>
          <w:rFonts w:ascii="Times New Roman" w:hAnsi="Times New Roman" w:cs="Times New Roman"/>
          <w:sz w:val="24"/>
          <w:szCs w:val="24"/>
        </w:rPr>
        <w:t>funciones de reacción</w:t>
      </w:r>
      <w:r w:rsidR="00D77690" w:rsidRPr="00A2537C">
        <w:rPr>
          <w:rFonts w:ascii="Times New Roman" w:hAnsi="Times New Roman" w:cs="Times New Roman"/>
          <w:sz w:val="24"/>
          <w:szCs w:val="24"/>
        </w:rPr>
        <w:t xml:space="preserve"> ante </w:t>
      </w:r>
      <w:r w:rsidRPr="00A2537C">
        <w:rPr>
          <w:rFonts w:ascii="Times New Roman" w:hAnsi="Times New Roman" w:cs="Times New Roman"/>
          <w:sz w:val="24"/>
          <w:szCs w:val="24"/>
        </w:rPr>
        <w:t xml:space="preserve">variaciones </w:t>
      </w:r>
      <w:r w:rsidR="00D77690" w:rsidRPr="00A2537C">
        <w:rPr>
          <w:rFonts w:ascii="Times New Roman" w:hAnsi="Times New Roman" w:cs="Times New Roman"/>
          <w:sz w:val="24"/>
          <w:szCs w:val="24"/>
        </w:rPr>
        <w:t>de la deuda</w:t>
      </w:r>
      <w:r w:rsidR="001029EC" w:rsidRPr="00A2537C">
        <w:rPr>
          <w:rFonts w:ascii="Times New Roman" w:hAnsi="Times New Roman" w:cs="Times New Roman"/>
          <w:sz w:val="24"/>
          <w:szCs w:val="24"/>
        </w:rPr>
        <w:t>:</w:t>
      </w:r>
      <w:r w:rsidR="00063774" w:rsidRPr="00A2537C">
        <w:rPr>
          <w:rFonts w:ascii="Times New Roman" w:hAnsi="Times New Roman" w:cs="Times New Roman"/>
          <w:sz w:val="24"/>
          <w:szCs w:val="24"/>
        </w:rPr>
        <w:t xml:space="preserve"> la primera, </w:t>
      </w:r>
      <w:r w:rsidR="001029EC" w:rsidRPr="00A2537C">
        <w:rPr>
          <w:rFonts w:ascii="Times New Roman" w:hAnsi="Times New Roman" w:cs="Times New Roman"/>
          <w:sz w:val="24"/>
          <w:szCs w:val="24"/>
        </w:rPr>
        <w:t xml:space="preserve">columnas </w:t>
      </w:r>
      <w:r w:rsidR="00063774" w:rsidRPr="00A2537C">
        <w:rPr>
          <w:rFonts w:ascii="Times New Roman" w:hAnsi="Times New Roman" w:cs="Times New Roman"/>
          <w:sz w:val="24"/>
          <w:szCs w:val="24"/>
        </w:rPr>
        <w:t>(</w:t>
      </w:r>
      <w:r w:rsidR="001619BF" w:rsidRPr="00A2537C">
        <w:rPr>
          <w:rFonts w:ascii="Times New Roman" w:hAnsi="Times New Roman" w:cs="Times New Roman"/>
          <w:sz w:val="24"/>
          <w:szCs w:val="24"/>
        </w:rPr>
        <w:t>A</w:t>
      </w:r>
      <w:r w:rsidR="00063774" w:rsidRPr="00A2537C">
        <w:rPr>
          <w:rFonts w:ascii="Times New Roman" w:hAnsi="Times New Roman" w:cs="Times New Roman"/>
          <w:sz w:val="24"/>
          <w:szCs w:val="24"/>
        </w:rPr>
        <w:t>) y (</w:t>
      </w:r>
      <w:r w:rsidR="001619BF" w:rsidRPr="00A2537C">
        <w:rPr>
          <w:rFonts w:ascii="Times New Roman" w:hAnsi="Times New Roman" w:cs="Times New Roman"/>
          <w:sz w:val="24"/>
          <w:szCs w:val="24"/>
        </w:rPr>
        <w:t>B</w:t>
      </w:r>
      <w:r w:rsidR="001029EC" w:rsidRPr="00A2537C">
        <w:rPr>
          <w:rFonts w:ascii="Times New Roman" w:hAnsi="Times New Roman" w:cs="Times New Roman"/>
          <w:sz w:val="24"/>
          <w:szCs w:val="24"/>
        </w:rPr>
        <w:t>)</w:t>
      </w:r>
      <w:r w:rsidR="00063774" w:rsidRPr="00A2537C">
        <w:rPr>
          <w:rFonts w:ascii="Times New Roman" w:hAnsi="Times New Roman" w:cs="Times New Roman"/>
          <w:sz w:val="24"/>
          <w:szCs w:val="24"/>
        </w:rPr>
        <w:t xml:space="preserve">, </w:t>
      </w:r>
      <w:r w:rsidR="00D77690" w:rsidRPr="00A2537C">
        <w:rPr>
          <w:rFonts w:ascii="Times New Roman" w:hAnsi="Times New Roman" w:cs="Times New Roman"/>
          <w:sz w:val="24"/>
          <w:szCs w:val="24"/>
        </w:rPr>
        <w:t>evalúa el efecto sobre el desempeño bursátil; la segunda, columnas (</w:t>
      </w:r>
      <w:r w:rsidR="001619BF" w:rsidRPr="00A2537C">
        <w:rPr>
          <w:rFonts w:ascii="Times New Roman" w:hAnsi="Times New Roman" w:cs="Times New Roman"/>
          <w:sz w:val="24"/>
          <w:szCs w:val="24"/>
        </w:rPr>
        <w:t>C</w:t>
      </w:r>
      <w:r w:rsidR="00D77690" w:rsidRPr="00A2537C">
        <w:rPr>
          <w:rFonts w:ascii="Times New Roman" w:hAnsi="Times New Roman" w:cs="Times New Roman"/>
          <w:sz w:val="24"/>
          <w:szCs w:val="24"/>
        </w:rPr>
        <w:t>) y (</w:t>
      </w:r>
      <w:r w:rsidR="001619BF" w:rsidRPr="00A2537C">
        <w:rPr>
          <w:rFonts w:ascii="Times New Roman" w:hAnsi="Times New Roman" w:cs="Times New Roman"/>
          <w:sz w:val="24"/>
          <w:szCs w:val="24"/>
        </w:rPr>
        <w:t>D</w:t>
      </w:r>
      <w:r w:rsidR="00D77690" w:rsidRPr="00A2537C">
        <w:rPr>
          <w:rFonts w:ascii="Times New Roman" w:hAnsi="Times New Roman" w:cs="Times New Roman"/>
          <w:sz w:val="24"/>
          <w:szCs w:val="24"/>
        </w:rPr>
        <w:t xml:space="preserve">), </w:t>
      </w:r>
      <w:r w:rsidR="001029EC" w:rsidRPr="00A2537C">
        <w:rPr>
          <w:rFonts w:ascii="Times New Roman" w:hAnsi="Times New Roman" w:cs="Times New Roman"/>
          <w:sz w:val="24"/>
          <w:szCs w:val="24"/>
        </w:rPr>
        <w:t>corresponde a</w:t>
      </w:r>
      <w:r w:rsidRPr="00A2537C">
        <w:rPr>
          <w:rFonts w:ascii="Times New Roman" w:hAnsi="Times New Roman" w:cs="Times New Roman"/>
          <w:sz w:val="24"/>
          <w:szCs w:val="24"/>
        </w:rPr>
        <w:t>l impacto sobre la dinámica del PIB; la tercera, columnas (</w:t>
      </w:r>
      <w:r w:rsidR="001619BF" w:rsidRPr="00A2537C">
        <w:rPr>
          <w:rFonts w:ascii="Times New Roman" w:hAnsi="Times New Roman" w:cs="Times New Roman"/>
          <w:sz w:val="24"/>
          <w:szCs w:val="24"/>
        </w:rPr>
        <w:t>E</w:t>
      </w:r>
      <w:r w:rsidRPr="00A2537C">
        <w:rPr>
          <w:rFonts w:ascii="Times New Roman" w:hAnsi="Times New Roman" w:cs="Times New Roman"/>
          <w:sz w:val="24"/>
          <w:szCs w:val="24"/>
        </w:rPr>
        <w:t>) y (</w:t>
      </w:r>
      <w:r w:rsidR="001619BF" w:rsidRPr="00A2537C">
        <w:rPr>
          <w:rFonts w:ascii="Times New Roman" w:hAnsi="Times New Roman" w:cs="Times New Roman"/>
          <w:sz w:val="24"/>
          <w:szCs w:val="24"/>
        </w:rPr>
        <w:t>F</w:t>
      </w:r>
      <w:r w:rsidRPr="00A2537C">
        <w:rPr>
          <w:rFonts w:ascii="Times New Roman" w:hAnsi="Times New Roman" w:cs="Times New Roman"/>
          <w:sz w:val="24"/>
          <w:szCs w:val="24"/>
        </w:rPr>
        <w:t>), captura el alcance sobre la estabilidad de precios; la cuarta, columnas (</w:t>
      </w:r>
      <w:r w:rsidR="001619BF" w:rsidRPr="00A2537C">
        <w:rPr>
          <w:rFonts w:ascii="Times New Roman" w:hAnsi="Times New Roman" w:cs="Times New Roman"/>
          <w:sz w:val="24"/>
          <w:szCs w:val="24"/>
        </w:rPr>
        <w:t>G</w:t>
      </w:r>
      <w:r w:rsidRPr="00A2537C">
        <w:rPr>
          <w:rFonts w:ascii="Times New Roman" w:hAnsi="Times New Roman" w:cs="Times New Roman"/>
          <w:sz w:val="24"/>
          <w:szCs w:val="24"/>
        </w:rPr>
        <w:t>) y (</w:t>
      </w:r>
      <w:r w:rsidR="001619BF" w:rsidRPr="00A2537C">
        <w:rPr>
          <w:rFonts w:ascii="Times New Roman" w:hAnsi="Times New Roman" w:cs="Times New Roman"/>
          <w:sz w:val="24"/>
          <w:szCs w:val="24"/>
        </w:rPr>
        <w:t>H</w:t>
      </w:r>
      <w:r w:rsidRPr="00A2537C">
        <w:rPr>
          <w:rFonts w:ascii="Times New Roman" w:hAnsi="Times New Roman" w:cs="Times New Roman"/>
          <w:sz w:val="24"/>
          <w:szCs w:val="24"/>
        </w:rPr>
        <w:t xml:space="preserve">), mide las implicaciones sobre la tasa de interés.  </w:t>
      </w:r>
      <w:r w:rsidR="001029EC" w:rsidRPr="00A2537C">
        <w:rPr>
          <w:rFonts w:ascii="Times New Roman" w:hAnsi="Times New Roman" w:cs="Times New Roman"/>
          <w:sz w:val="24"/>
          <w:szCs w:val="24"/>
        </w:rPr>
        <w:t xml:space="preserve">  </w:t>
      </w:r>
    </w:p>
    <w:bookmarkEnd w:id="7"/>
    <w:p w14:paraId="06662778" w14:textId="72ACCBEA" w:rsidR="007A0D0E" w:rsidRDefault="00427C3A" w:rsidP="00440A58">
      <w:pPr>
        <w:spacing w:after="0" w:line="360" w:lineRule="auto"/>
        <w:ind w:firstLine="708"/>
        <w:jc w:val="both"/>
        <w:rPr>
          <w:rFonts w:ascii="Times New Roman" w:hAnsi="Times New Roman" w:cs="Times New Roman"/>
          <w:sz w:val="24"/>
          <w:szCs w:val="24"/>
        </w:rPr>
      </w:pPr>
      <w:r w:rsidRPr="00A2537C">
        <w:rPr>
          <w:rFonts w:ascii="Times New Roman" w:hAnsi="Times New Roman" w:cs="Times New Roman"/>
          <w:sz w:val="24"/>
          <w:szCs w:val="24"/>
        </w:rPr>
        <w:t xml:space="preserve">La </w:t>
      </w:r>
      <w:r w:rsidR="00A2537C">
        <w:rPr>
          <w:rFonts w:ascii="Times New Roman" w:hAnsi="Times New Roman" w:cs="Times New Roman"/>
          <w:sz w:val="24"/>
          <w:szCs w:val="24"/>
        </w:rPr>
        <w:t>prueba</w:t>
      </w:r>
      <w:r w:rsidRPr="00A2537C">
        <w:rPr>
          <w:rFonts w:ascii="Times New Roman" w:hAnsi="Times New Roman" w:cs="Times New Roman"/>
          <w:sz w:val="24"/>
          <w:szCs w:val="24"/>
        </w:rPr>
        <w:t xml:space="preserve"> de </w:t>
      </w:r>
      <w:r w:rsidR="00A2537C">
        <w:rPr>
          <w:rFonts w:ascii="Times New Roman" w:hAnsi="Times New Roman" w:cs="Times New Roman"/>
          <w:sz w:val="24"/>
          <w:szCs w:val="24"/>
        </w:rPr>
        <w:t xml:space="preserve">nuestra </w:t>
      </w:r>
      <w:r w:rsidRPr="00A2537C">
        <w:rPr>
          <w:rFonts w:ascii="Times New Roman" w:hAnsi="Times New Roman" w:cs="Times New Roman"/>
          <w:sz w:val="24"/>
          <w:szCs w:val="24"/>
        </w:rPr>
        <w:t>hip</w:t>
      </w:r>
      <w:r w:rsidRPr="00427C3A">
        <w:rPr>
          <w:rFonts w:ascii="Times New Roman" w:hAnsi="Times New Roman" w:cs="Times New Roman"/>
          <w:sz w:val="24"/>
          <w:szCs w:val="24"/>
        </w:rPr>
        <w:t>ótesis comienza con el estudio de las propiedades estocásticas de las series incluidas en</w:t>
      </w:r>
      <w:r w:rsidR="00A1592F">
        <w:rPr>
          <w:rFonts w:ascii="Times New Roman" w:hAnsi="Times New Roman" w:cs="Times New Roman"/>
          <w:sz w:val="24"/>
          <w:szCs w:val="24"/>
        </w:rPr>
        <w:t xml:space="preserve"> cada sistema</w:t>
      </w:r>
      <w:r w:rsidRPr="00427C3A">
        <w:rPr>
          <w:rFonts w:ascii="Times New Roman" w:hAnsi="Times New Roman" w:cs="Times New Roman"/>
          <w:sz w:val="24"/>
          <w:szCs w:val="24"/>
        </w:rPr>
        <w:t xml:space="preserve">, </w:t>
      </w:r>
      <w:r w:rsidR="00A1592F">
        <w:rPr>
          <w:rFonts w:ascii="Times New Roman" w:hAnsi="Times New Roman" w:cs="Times New Roman"/>
          <w:sz w:val="24"/>
          <w:szCs w:val="24"/>
        </w:rPr>
        <w:t>mediante</w:t>
      </w:r>
      <w:r w:rsidRPr="00427C3A">
        <w:rPr>
          <w:rFonts w:ascii="Times New Roman" w:hAnsi="Times New Roman" w:cs="Times New Roman"/>
          <w:sz w:val="24"/>
          <w:szCs w:val="24"/>
        </w:rPr>
        <w:t xml:space="preserve"> las pruebas de raíz unitaria de </w:t>
      </w:r>
      <w:proofErr w:type="spellStart"/>
      <w:r w:rsidRPr="00427C3A">
        <w:rPr>
          <w:rFonts w:ascii="Times New Roman" w:hAnsi="Times New Roman" w:cs="Times New Roman"/>
          <w:sz w:val="24"/>
          <w:szCs w:val="24"/>
        </w:rPr>
        <w:t>Dickey</w:t>
      </w:r>
      <w:proofErr w:type="spellEnd"/>
      <w:r w:rsidRPr="00427C3A">
        <w:rPr>
          <w:rFonts w:ascii="Times New Roman" w:hAnsi="Times New Roman" w:cs="Times New Roman"/>
          <w:sz w:val="24"/>
          <w:szCs w:val="24"/>
        </w:rPr>
        <w:t>-Fuller Aumentada (</w:t>
      </w:r>
      <m:oMath>
        <m:r>
          <w:rPr>
            <w:rFonts w:ascii="Cambria Math" w:hAnsi="Cambria Math" w:cs="Times New Roman"/>
            <w:sz w:val="24"/>
            <w:szCs w:val="24"/>
          </w:rPr>
          <m:t>ADF</m:t>
        </m:r>
      </m:oMath>
      <w:r w:rsidRPr="00427C3A">
        <w:rPr>
          <w:rFonts w:ascii="Times New Roman" w:hAnsi="Times New Roman" w:cs="Times New Roman"/>
          <w:sz w:val="24"/>
          <w:szCs w:val="24"/>
        </w:rPr>
        <w:t>) y Phillips-Perron (</w:t>
      </w:r>
      <m:oMath>
        <m:r>
          <w:rPr>
            <w:rFonts w:ascii="Cambria Math" w:hAnsi="Cambria Math" w:cs="Times New Roman"/>
            <w:sz w:val="24"/>
            <w:szCs w:val="24"/>
          </w:rPr>
          <m:t>PP</m:t>
        </m:r>
      </m:oMath>
      <w:r w:rsidRPr="00427C3A">
        <w:rPr>
          <w:rFonts w:ascii="Times New Roman" w:hAnsi="Times New Roman" w:cs="Times New Roman"/>
          <w:sz w:val="24"/>
          <w:szCs w:val="24"/>
        </w:rPr>
        <w:t>).  Los resultados sugieren que las variables son integradas</w:t>
      </w:r>
      <w:r w:rsidR="009C1789">
        <w:rPr>
          <w:rFonts w:ascii="Times New Roman" w:hAnsi="Times New Roman" w:cs="Times New Roman"/>
          <w:sz w:val="24"/>
          <w:szCs w:val="24"/>
        </w:rPr>
        <w:t xml:space="preserve"> de orden uno</w:t>
      </w:r>
      <w:r w:rsidRPr="00427C3A">
        <w:rPr>
          <w:rFonts w:ascii="Times New Roman" w:eastAsiaTheme="minorEastAsia" w:hAnsi="Times New Roman" w:cs="Times New Roman"/>
          <w:sz w:val="24"/>
          <w:szCs w:val="24"/>
          <w:lang w:val="es-ES_tradnl"/>
        </w:rPr>
        <w:t xml:space="preserve"> en niveles y procesos</w:t>
      </w:r>
      <w:r w:rsidRPr="00427C3A">
        <w:rPr>
          <w:rFonts w:ascii="Times New Roman" w:hAnsi="Times New Roman" w:cs="Times New Roman"/>
          <w:sz w:val="24"/>
          <w:szCs w:val="24"/>
        </w:rPr>
        <w:t xml:space="preserve"> estocásticos estacionarios</w:t>
      </w:r>
      <w:r w:rsidR="009C1789">
        <w:rPr>
          <w:rFonts w:ascii="Times New Roman" w:hAnsi="Times New Roman" w:cs="Times New Roman"/>
          <w:sz w:val="24"/>
          <w:szCs w:val="24"/>
        </w:rPr>
        <w:t xml:space="preserve"> </w:t>
      </w:r>
      <w:r w:rsidRPr="00427C3A">
        <w:rPr>
          <w:rFonts w:ascii="Times New Roman" w:hAnsi="Times New Roman" w:cs="Times New Roman"/>
          <w:sz w:val="24"/>
          <w:szCs w:val="24"/>
        </w:rPr>
        <w:t xml:space="preserve">en primeras diferencias. Una vez determinado el orden de integración, se procedió a identificar </w:t>
      </w:r>
      <w:r w:rsidRPr="00427C3A">
        <w:rPr>
          <w:rFonts w:ascii="Times New Roman" w:hAnsi="Times New Roman" w:cs="Times New Roman"/>
          <w:sz w:val="24"/>
          <w:szCs w:val="24"/>
        </w:rPr>
        <w:lastRenderedPageBreak/>
        <w:t xml:space="preserve">si entre las variables persiste una relación de equilibrio, siguiendo el procedimiento </w:t>
      </w:r>
      <w:r w:rsidRPr="00427C3A">
        <w:rPr>
          <w:rFonts w:ascii="Times New Roman" w:eastAsiaTheme="minorEastAsia" w:hAnsi="Times New Roman" w:cs="Times New Roman"/>
          <w:sz w:val="24"/>
          <w:szCs w:val="24"/>
        </w:rPr>
        <w:t xml:space="preserve">de </w:t>
      </w:r>
      <w:r w:rsidRPr="00427C3A">
        <w:rPr>
          <w:rFonts w:ascii="Times New Roman" w:hAnsi="Times New Roman" w:cs="Times New Roman"/>
          <w:sz w:val="24"/>
          <w:szCs w:val="24"/>
        </w:rPr>
        <w:t xml:space="preserve">Pesaran, </w:t>
      </w:r>
      <w:r w:rsidRPr="00427C3A">
        <w:rPr>
          <w:rFonts w:ascii="Times New Roman" w:hAnsi="Times New Roman" w:cs="Times New Roman"/>
          <w:i/>
          <w:sz w:val="24"/>
          <w:szCs w:val="24"/>
        </w:rPr>
        <w:t>et al</w:t>
      </w:r>
      <w:r w:rsidRPr="00427C3A">
        <w:rPr>
          <w:rFonts w:ascii="Times New Roman" w:hAnsi="Times New Roman" w:cs="Times New Roman"/>
          <w:sz w:val="24"/>
          <w:szCs w:val="24"/>
        </w:rPr>
        <w:t xml:space="preserve"> (2001), se confirma la presencia de un co-movimiento de largo plazo en las regresiones (véase anexos </w:t>
      </w:r>
      <w:r w:rsidR="00262E1C">
        <w:rPr>
          <w:rFonts w:ascii="Times New Roman" w:hAnsi="Times New Roman" w:cs="Times New Roman"/>
          <w:i/>
          <w:iCs/>
          <w:sz w:val="24"/>
          <w:szCs w:val="24"/>
        </w:rPr>
        <w:t>1</w:t>
      </w:r>
      <w:r w:rsidR="00F9083E" w:rsidRPr="00262E1C">
        <w:rPr>
          <w:rFonts w:ascii="Times New Roman" w:eastAsiaTheme="minorEastAsia" w:hAnsi="Times New Roman" w:cs="Times New Roman"/>
          <w:i/>
          <w:iCs/>
          <w:sz w:val="24"/>
          <w:szCs w:val="24"/>
        </w:rPr>
        <w:t>A</w:t>
      </w:r>
      <w:r w:rsidRPr="00427C3A">
        <w:rPr>
          <w:rFonts w:ascii="Times New Roman" w:eastAsiaTheme="minorEastAsia" w:hAnsi="Times New Roman" w:cs="Times New Roman"/>
          <w:sz w:val="24"/>
          <w:szCs w:val="24"/>
        </w:rPr>
        <w:t xml:space="preserve"> y </w:t>
      </w:r>
      <w:r w:rsidR="00262E1C">
        <w:rPr>
          <w:rFonts w:ascii="Times New Roman" w:eastAsiaTheme="minorEastAsia" w:hAnsi="Times New Roman" w:cs="Times New Roman"/>
          <w:i/>
          <w:iCs/>
          <w:sz w:val="24"/>
          <w:szCs w:val="24"/>
        </w:rPr>
        <w:t>2</w:t>
      </w:r>
      <w:r w:rsidR="00F9083E">
        <w:rPr>
          <w:rFonts w:ascii="Times New Roman" w:eastAsiaTheme="minorEastAsia" w:hAnsi="Times New Roman" w:cs="Times New Roman"/>
          <w:i/>
          <w:iCs/>
          <w:sz w:val="24"/>
          <w:szCs w:val="24"/>
        </w:rPr>
        <w:t>A</w:t>
      </w:r>
      <w:r w:rsidRPr="00427C3A">
        <w:rPr>
          <w:rFonts w:ascii="Times New Roman" w:hAnsi="Times New Roman" w:cs="Times New Roman"/>
          <w:sz w:val="24"/>
          <w:szCs w:val="24"/>
        </w:rPr>
        <w:t>).</w:t>
      </w:r>
      <w:r w:rsidR="001029EC">
        <w:rPr>
          <w:rFonts w:ascii="Times New Roman" w:hAnsi="Times New Roman" w:cs="Times New Roman"/>
          <w:sz w:val="24"/>
          <w:szCs w:val="24"/>
        </w:rPr>
        <w:t xml:space="preserve"> </w:t>
      </w:r>
      <w:r w:rsidR="00063774">
        <w:rPr>
          <w:rFonts w:ascii="Times New Roman" w:hAnsi="Times New Roman" w:cs="Times New Roman"/>
          <w:sz w:val="24"/>
          <w:szCs w:val="24"/>
        </w:rPr>
        <w:t xml:space="preserve">Si bien </w:t>
      </w:r>
      <w:r w:rsidR="001029EC">
        <w:rPr>
          <w:rFonts w:ascii="Times New Roman" w:hAnsi="Times New Roman" w:cs="Times New Roman"/>
          <w:sz w:val="24"/>
          <w:szCs w:val="24"/>
        </w:rPr>
        <w:t xml:space="preserve">el </w:t>
      </w:r>
      <w:r w:rsidRPr="00427C3A">
        <w:rPr>
          <w:rFonts w:ascii="Times New Roman" w:hAnsi="Times New Roman" w:cs="Times New Roman"/>
          <w:sz w:val="24"/>
          <w:szCs w:val="24"/>
        </w:rPr>
        <w:t xml:space="preserve">diagnóstico </w:t>
      </w:r>
      <w:r w:rsidR="00063774">
        <w:rPr>
          <w:rFonts w:ascii="Times New Roman" w:hAnsi="Times New Roman" w:cs="Times New Roman"/>
          <w:sz w:val="24"/>
          <w:szCs w:val="24"/>
        </w:rPr>
        <w:t xml:space="preserve">econométrico </w:t>
      </w:r>
      <w:r w:rsidRPr="00427C3A">
        <w:rPr>
          <w:rFonts w:ascii="Times New Roman" w:hAnsi="Times New Roman" w:cs="Times New Roman"/>
          <w:sz w:val="24"/>
          <w:szCs w:val="24"/>
        </w:rPr>
        <w:t>no evidenci</w:t>
      </w:r>
      <w:r w:rsidR="00063774">
        <w:rPr>
          <w:rFonts w:ascii="Times New Roman" w:hAnsi="Times New Roman" w:cs="Times New Roman"/>
          <w:sz w:val="24"/>
          <w:szCs w:val="24"/>
        </w:rPr>
        <w:t xml:space="preserve">ó </w:t>
      </w:r>
      <w:r w:rsidRPr="00427C3A">
        <w:rPr>
          <w:rFonts w:ascii="Times New Roman" w:hAnsi="Times New Roman" w:cs="Times New Roman"/>
          <w:sz w:val="24"/>
          <w:szCs w:val="24"/>
        </w:rPr>
        <w:t>problemas de autocorrelación (</w:t>
      </w:r>
      <w:proofErr w:type="spellStart"/>
      <w:r w:rsidRPr="00427C3A">
        <w:rPr>
          <w:rFonts w:ascii="Times New Roman" w:hAnsi="Times New Roman" w:cs="Times New Roman"/>
          <w:sz w:val="24"/>
          <w:szCs w:val="24"/>
        </w:rPr>
        <w:t>Breusch</w:t>
      </w:r>
      <w:proofErr w:type="spellEnd"/>
      <w:r w:rsidRPr="00427C3A">
        <w:rPr>
          <w:rFonts w:ascii="Times New Roman" w:hAnsi="Times New Roman" w:cs="Times New Roman"/>
          <w:sz w:val="24"/>
          <w:szCs w:val="24"/>
        </w:rPr>
        <w:t>-</w:t>
      </w:r>
      <w:r>
        <w:rPr>
          <w:rFonts w:ascii="Times New Roman" w:hAnsi="Times New Roman" w:cs="Times New Roman"/>
          <w:sz w:val="24"/>
          <w:szCs w:val="24"/>
        </w:rPr>
        <w:t>G</w:t>
      </w:r>
      <w:r w:rsidRPr="00427C3A">
        <w:rPr>
          <w:rFonts w:ascii="Times New Roman" w:hAnsi="Times New Roman" w:cs="Times New Roman"/>
          <w:sz w:val="24"/>
          <w:szCs w:val="24"/>
        </w:rPr>
        <w:t>odfrey) o heteroscedasticidad (White),</w:t>
      </w:r>
      <w:r w:rsidR="00063774">
        <w:rPr>
          <w:rFonts w:ascii="Times New Roman" w:hAnsi="Times New Roman" w:cs="Times New Roman"/>
          <w:sz w:val="24"/>
          <w:szCs w:val="24"/>
        </w:rPr>
        <w:t xml:space="preserve"> </w:t>
      </w:r>
      <w:r w:rsidR="00272CC4">
        <w:rPr>
          <w:rFonts w:ascii="Times New Roman" w:hAnsi="Times New Roman" w:cs="Times New Roman"/>
          <w:sz w:val="24"/>
          <w:szCs w:val="24"/>
        </w:rPr>
        <w:t xml:space="preserve">sin embargo, </w:t>
      </w:r>
      <w:r w:rsidR="00063774">
        <w:rPr>
          <w:rFonts w:ascii="Times New Roman" w:hAnsi="Times New Roman" w:cs="Times New Roman"/>
          <w:sz w:val="24"/>
          <w:szCs w:val="24"/>
        </w:rPr>
        <w:t xml:space="preserve">la evidencia sugiere </w:t>
      </w:r>
      <w:r w:rsidRPr="00427C3A">
        <w:rPr>
          <w:rFonts w:ascii="Times New Roman" w:hAnsi="Times New Roman" w:cs="Times New Roman"/>
          <w:sz w:val="24"/>
          <w:szCs w:val="24"/>
        </w:rPr>
        <w:t xml:space="preserve">que los residuos </w:t>
      </w:r>
      <w:r w:rsidR="00063774">
        <w:rPr>
          <w:rFonts w:ascii="Times New Roman" w:hAnsi="Times New Roman" w:cs="Times New Roman"/>
          <w:sz w:val="24"/>
          <w:szCs w:val="24"/>
        </w:rPr>
        <w:t xml:space="preserve">no </w:t>
      </w:r>
      <w:r w:rsidR="00272CC4">
        <w:rPr>
          <w:rFonts w:ascii="Times New Roman" w:hAnsi="Times New Roman" w:cs="Times New Roman"/>
          <w:sz w:val="24"/>
          <w:szCs w:val="24"/>
        </w:rPr>
        <w:t xml:space="preserve">siguen </w:t>
      </w:r>
      <w:r w:rsidRPr="00427C3A">
        <w:rPr>
          <w:rFonts w:ascii="Times New Roman" w:hAnsi="Times New Roman" w:cs="Times New Roman"/>
          <w:sz w:val="24"/>
          <w:szCs w:val="24"/>
        </w:rPr>
        <w:t>una distribución normal (</w:t>
      </w:r>
      <w:proofErr w:type="spellStart"/>
      <w:r w:rsidRPr="00427C3A">
        <w:rPr>
          <w:rFonts w:ascii="Times New Roman" w:hAnsi="Times New Roman" w:cs="Times New Roman"/>
          <w:sz w:val="24"/>
          <w:szCs w:val="24"/>
        </w:rPr>
        <w:t>Royston</w:t>
      </w:r>
      <w:proofErr w:type="spellEnd"/>
      <w:r w:rsidRPr="00427C3A">
        <w:rPr>
          <w:rFonts w:ascii="Times New Roman" w:hAnsi="Times New Roman" w:cs="Times New Roman"/>
          <w:sz w:val="24"/>
          <w:szCs w:val="24"/>
        </w:rPr>
        <w:t>), véa</w:t>
      </w:r>
      <w:r w:rsidR="00262E1C">
        <w:rPr>
          <w:rFonts w:ascii="Times New Roman" w:hAnsi="Times New Roman" w:cs="Times New Roman"/>
          <w:sz w:val="24"/>
          <w:szCs w:val="24"/>
        </w:rPr>
        <w:t>n</w:t>
      </w:r>
      <w:r w:rsidRPr="00427C3A">
        <w:rPr>
          <w:rFonts w:ascii="Times New Roman" w:hAnsi="Times New Roman" w:cs="Times New Roman"/>
          <w:sz w:val="24"/>
          <w:szCs w:val="24"/>
        </w:rPr>
        <w:t>se anexo</w:t>
      </w:r>
      <w:r w:rsidR="00262E1C">
        <w:rPr>
          <w:rFonts w:ascii="Times New Roman" w:hAnsi="Times New Roman" w:cs="Times New Roman"/>
          <w:sz w:val="24"/>
          <w:szCs w:val="24"/>
        </w:rPr>
        <w:t>s</w:t>
      </w:r>
      <w:r w:rsidRPr="00427C3A">
        <w:rPr>
          <w:rFonts w:ascii="Times New Roman" w:hAnsi="Times New Roman" w:cs="Times New Roman"/>
          <w:sz w:val="24"/>
          <w:szCs w:val="24"/>
        </w:rPr>
        <w:t xml:space="preserve"> </w:t>
      </w:r>
      <w:r w:rsidR="00262E1C">
        <w:rPr>
          <w:rFonts w:ascii="Times New Roman" w:hAnsi="Times New Roman" w:cs="Times New Roman"/>
          <w:i/>
          <w:iCs/>
          <w:sz w:val="24"/>
          <w:szCs w:val="24"/>
        </w:rPr>
        <w:t>3A, 4A y 5</w:t>
      </w:r>
      <w:r w:rsidR="00F9083E">
        <w:rPr>
          <w:rFonts w:ascii="Times New Roman" w:hAnsi="Times New Roman" w:cs="Times New Roman"/>
          <w:i/>
          <w:iCs/>
          <w:sz w:val="24"/>
          <w:szCs w:val="24"/>
        </w:rPr>
        <w:t>A</w:t>
      </w:r>
      <w:r w:rsidRPr="00427C3A">
        <w:rPr>
          <w:rFonts w:ascii="Times New Roman" w:hAnsi="Times New Roman" w:cs="Times New Roman"/>
          <w:sz w:val="24"/>
          <w:szCs w:val="24"/>
        </w:rPr>
        <w:t>.</w:t>
      </w:r>
      <w:r w:rsidR="008F37EC">
        <w:rPr>
          <w:rFonts w:ascii="Times New Roman" w:hAnsi="Times New Roman" w:cs="Times New Roman"/>
          <w:sz w:val="24"/>
          <w:szCs w:val="24"/>
        </w:rPr>
        <w:t xml:space="preserve"> </w:t>
      </w:r>
    </w:p>
    <w:p w14:paraId="0FC99836" w14:textId="7FF85FC0" w:rsidR="007A0D0E" w:rsidRDefault="001374DE" w:rsidP="00440A58">
      <w:pPr>
        <w:spacing w:after="0" w:line="360" w:lineRule="auto"/>
        <w:ind w:firstLine="708"/>
        <w:jc w:val="both"/>
        <w:rPr>
          <w:rFonts w:ascii="Times New Roman" w:eastAsiaTheme="minorEastAsia" w:hAnsi="Times New Roman" w:cs="Times New Roman"/>
          <w:sz w:val="24"/>
          <w:szCs w:val="24"/>
        </w:rPr>
      </w:pPr>
      <w:bookmarkStart w:id="8" w:name="_Hlk70273340"/>
      <w:r w:rsidRPr="00A2537C">
        <w:rPr>
          <w:rFonts w:ascii="Times New Roman" w:hAnsi="Times New Roman" w:cs="Times New Roman"/>
          <w:sz w:val="24"/>
          <w:szCs w:val="24"/>
        </w:rPr>
        <w:t xml:space="preserve">En general, </w:t>
      </w:r>
      <w:bookmarkStart w:id="9" w:name="_Hlk69765649"/>
      <w:r w:rsidRPr="00A2537C">
        <w:rPr>
          <w:rFonts w:ascii="Times New Roman" w:hAnsi="Times New Roman" w:cs="Times New Roman"/>
          <w:sz w:val="24"/>
          <w:szCs w:val="24"/>
        </w:rPr>
        <w:t>nuestras estimaciones m</w:t>
      </w:r>
      <w:r w:rsidR="00185BBA" w:rsidRPr="00A2537C">
        <w:rPr>
          <w:rFonts w:ascii="Times New Roman" w:hAnsi="Times New Roman" w:cs="Times New Roman"/>
          <w:sz w:val="24"/>
          <w:szCs w:val="24"/>
        </w:rPr>
        <w:t>uestr</w:t>
      </w:r>
      <w:r w:rsidRPr="00A2537C">
        <w:rPr>
          <w:rFonts w:ascii="Times New Roman" w:hAnsi="Times New Roman" w:cs="Times New Roman"/>
          <w:sz w:val="24"/>
          <w:szCs w:val="24"/>
        </w:rPr>
        <w:t>an</w:t>
      </w:r>
      <w:r w:rsidR="00110F9E" w:rsidRPr="00A2537C">
        <w:rPr>
          <w:rFonts w:ascii="Times New Roman" w:hAnsi="Times New Roman" w:cs="Times New Roman"/>
          <w:sz w:val="24"/>
          <w:szCs w:val="24"/>
        </w:rPr>
        <w:t xml:space="preserve"> </w:t>
      </w:r>
      <w:r w:rsidRPr="00A2537C">
        <w:rPr>
          <w:rFonts w:ascii="Times New Roman" w:hAnsi="Times New Roman" w:cs="Times New Roman"/>
          <w:sz w:val="24"/>
          <w:szCs w:val="24"/>
        </w:rPr>
        <w:t xml:space="preserve">que el efecto más </w:t>
      </w:r>
      <w:r w:rsidR="006268F9" w:rsidRPr="00A2537C">
        <w:rPr>
          <w:rFonts w:ascii="Times New Roman" w:hAnsi="Times New Roman" w:cs="Times New Roman"/>
          <w:sz w:val="24"/>
          <w:szCs w:val="24"/>
        </w:rPr>
        <w:t>notable</w:t>
      </w:r>
      <w:r w:rsidRPr="00A2537C">
        <w:rPr>
          <w:rFonts w:ascii="Times New Roman" w:hAnsi="Times New Roman" w:cs="Times New Roman"/>
          <w:sz w:val="24"/>
          <w:szCs w:val="24"/>
        </w:rPr>
        <w:t xml:space="preserve"> asociado con la expansión de la deuda es el inducido </w:t>
      </w:r>
      <w:r w:rsidR="009C7A90" w:rsidRPr="00A2537C">
        <w:rPr>
          <w:rFonts w:ascii="Times New Roman" w:hAnsi="Times New Roman" w:cs="Times New Roman"/>
          <w:sz w:val="24"/>
          <w:szCs w:val="24"/>
        </w:rPr>
        <w:t>sobre</w:t>
      </w:r>
      <w:r w:rsidR="00185BBA" w:rsidRPr="00A2537C">
        <w:rPr>
          <w:rFonts w:ascii="Times New Roman" w:hAnsi="Times New Roman" w:cs="Times New Roman"/>
          <w:sz w:val="24"/>
          <w:szCs w:val="24"/>
        </w:rPr>
        <w:t xml:space="preserve"> la dinámica del </w:t>
      </w:r>
      <w:r w:rsidR="0014431C" w:rsidRPr="00A2537C">
        <w:rPr>
          <w:rFonts w:ascii="Times New Roman" w:hAnsi="Times New Roman" w:cs="Times New Roman"/>
          <w:sz w:val="24"/>
          <w:szCs w:val="24"/>
        </w:rPr>
        <w:t>mercado de valores</w:t>
      </w:r>
      <w:r w:rsidR="00185BBA" w:rsidRPr="00A2537C">
        <w:rPr>
          <w:rFonts w:ascii="Times New Roman" w:hAnsi="Times New Roman" w:cs="Times New Roman"/>
          <w:sz w:val="24"/>
          <w:szCs w:val="24"/>
        </w:rPr>
        <w:t>,</w:t>
      </w:r>
      <w:r w:rsidR="00110F9E" w:rsidRPr="00A2537C">
        <w:rPr>
          <w:rFonts w:ascii="Times New Roman" w:hAnsi="Times New Roman" w:cs="Times New Roman"/>
          <w:sz w:val="24"/>
          <w:szCs w:val="24"/>
        </w:rPr>
        <w:t xml:space="preserve"> ya que la respuesta del índice bursátil</w:t>
      </w:r>
      <w:r w:rsidRPr="00A2537C">
        <w:rPr>
          <w:rFonts w:ascii="Times New Roman" w:hAnsi="Times New Roman" w:cs="Times New Roman"/>
          <w:sz w:val="24"/>
          <w:szCs w:val="24"/>
        </w:rPr>
        <w:t>, ante un incremento de los pasivos gubernamentales,</w:t>
      </w:r>
      <w:r w:rsidR="00110F9E" w:rsidRPr="00A2537C">
        <w:rPr>
          <w:rFonts w:ascii="Times New Roman" w:hAnsi="Times New Roman" w:cs="Times New Roman"/>
          <w:sz w:val="24"/>
          <w:szCs w:val="24"/>
        </w:rPr>
        <w:t xml:space="preserve"> es </w:t>
      </w:r>
      <w:r w:rsidRPr="00A2537C">
        <w:rPr>
          <w:rFonts w:ascii="Times New Roman" w:hAnsi="Times New Roman" w:cs="Times New Roman"/>
          <w:sz w:val="24"/>
          <w:szCs w:val="24"/>
        </w:rPr>
        <w:t xml:space="preserve">significativamente </w:t>
      </w:r>
      <w:r w:rsidR="003E28A3" w:rsidRPr="00A2537C">
        <w:rPr>
          <w:rFonts w:ascii="Times New Roman" w:hAnsi="Times New Roman" w:cs="Times New Roman"/>
          <w:sz w:val="24"/>
          <w:szCs w:val="24"/>
        </w:rPr>
        <w:t>elástica</w:t>
      </w:r>
      <w:r w:rsidR="00110F9E" w:rsidRPr="00A2537C">
        <w:rPr>
          <w:rFonts w:ascii="Times New Roman" w:hAnsi="Times New Roman" w:cs="Times New Roman"/>
          <w:sz w:val="24"/>
          <w:szCs w:val="24"/>
        </w:rPr>
        <w:t>.</w:t>
      </w:r>
      <w:r w:rsidR="003E28A3" w:rsidRPr="00A2537C">
        <w:rPr>
          <w:rFonts w:ascii="Times New Roman" w:hAnsi="Times New Roman" w:cs="Times New Roman"/>
          <w:sz w:val="24"/>
          <w:szCs w:val="24"/>
        </w:rPr>
        <w:t xml:space="preserve"> </w:t>
      </w:r>
      <w:r w:rsidRPr="00A2537C">
        <w:rPr>
          <w:rFonts w:ascii="Times New Roman" w:hAnsi="Times New Roman" w:cs="Times New Roman"/>
          <w:sz w:val="24"/>
          <w:szCs w:val="24"/>
        </w:rPr>
        <w:t xml:space="preserve">Este resultado es consistente con la </w:t>
      </w:r>
      <w:r w:rsidR="001C1FF7" w:rsidRPr="00A2537C">
        <w:rPr>
          <w:rFonts w:ascii="Times New Roman" w:hAnsi="Times New Roman" w:cs="Times New Roman"/>
          <w:sz w:val="24"/>
          <w:szCs w:val="24"/>
        </w:rPr>
        <w:t xml:space="preserve">conjetura </w:t>
      </w:r>
      <w:r w:rsidR="00C2089E" w:rsidRPr="00A2537C">
        <w:rPr>
          <w:rFonts w:ascii="Times New Roman" w:hAnsi="Times New Roman" w:cs="Times New Roman"/>
          <w:sz w:val="24"/>
          <w:szCs w:val="24"/>
        </w:rPr>
        <w:t xml:space="preserve">de </w:t>
      </w:r>
      <w:r w:rsidRPr="00A2537C">
        <w:rPr>
          <w:rFonts w:ascii="Times New Roman" w:hAnsi="Times New Roman" w:cs="Times New Roman"/>
          <w:sz w:val="24"/>
          <w:szCs w:val="24"/>
        </w:rPr>
        <w:t xml:space="preserve">que </w:t>
      </w:r>
      <w:r w:rsidR="00185BBA" w:rsidRPr="00A2537C">
        <w:rPr>
          <w:rFonts w:ascii="Times New Roman" w:hAnsi="Times New Roman" w:cs="Times New Roman"/>
          <w:sz w:val="24"/>
          <w:szCs w:val="24"/>
        </w:rPr>
        <w:t xml:space="preserve">la compra </w:t>
      </w:r>
      <w:r w:rsidR="00206C2B" w:rsidRPr="00A2537C">
        <w:rPr>
          <w:rFonts w:ascii="Times New Roman" w:hAnsi="Times New Roman" w:cs="Times New Roman"/>
          <w:sz w:val="24"/>
          <w:szCs w:val="24"/>
        </w:rPr>
        <w:t xml:space="preserve">de títulos gubernamentales </w:t>
      </w:r>
      <w:r w:rsidR="009C7A90" w:rsidRPr="00A2537C">
        <w:rPr>
          <w:rFonts w:ascii="Times New Roman" w:hAnsi="Times New Roman" w:cs="Times New Roman"/>
          <w:sz w:val="24"/>
          <w:szCs w:val="24"/>
        </w:rPr>
        <w:t xml:space="preserve">por parte </w:t>
      </w:r>
      <w:r w:rsidR="00185BBA" w:rsidRPr="00A2537C">
        <w:rPr>
          <w:rFonts w:ascii="Times New Roman" w:hAnsi="Times New Roman" w:cs="Times New Roman"/>
          <w:sz w:val="24"/>
          <w:szCs w:val="24"/>
        </w:rPr>
        <w:t xml:space="preserve">de la FED (aumento de la hoja de balance) </w:t>
      </w:r>
      <w:r w:rsidR="001C1FF7" w:rsidRPr="00A2537C">
        <w:rPr>
          <w:rFonts w:ascii="Times New Roman" w:hAnsi="Times New Roman" w:cs="Times New Roman"/>
          <w:sz w:val="24"/>
          <w:szCs w:val="24"/>
        </w:rPr>
        <w:t xml:space="preserve">tiene como principal perspectiva </w:t>
      </w:r>
      <w:r w:rsidR="00206C2B" w:rsidRPr="00A2537C">
        <w:rPr>
          <w:rFonts w:ascii="Times New Roman" w:hAnsi="Times New Roman" w:cs="Times New Roman"/>
          <w:sz w:val="24"/>
          <w:szCs w:val="24"/>
        </w:rPr>
        <w:t xml:space="preserve">inyectar liquidez </w:t>
      </w:r>
      <w:r w:rsidR="009C7A90" w:rsidRPr="00A2537C">
        <w:rPr>
          <w:rFonts w:ascii="Times New Roman" w:hAnsi="Times New Roman" w:cs="Times New Roman"/>
          <w:sz w:val="24"/>
          <w:szCs w:val="24"/>
        </w:rPr>
        <w:t>para</w:t>
      </w:r>
      <w:r w:rsidR="00206C2B" w:rsidRPr="00A2537C">
        <w:rPr>
          <w:rFonts w:ascii="Times New Roman" w:hAnsi="Times New Roman" w:cs="Times New Roman"/>
          <w:sz w:val="24"/>
          <w:szCs w:val="24"/>
        </w:rPr>
        <w:t xml:space="preserve"> amortig</w:t>
      </w:r>
      <w:r w:rsidR="009C7A90" w:rsidRPr="00A2537C">
        <w:rPr>
          <w:rFonts w:ascii="Times New Roman" w:hAnsi="Times New Roman" w:cs="Times New Roman"/>
          <w:sz w:val="24"/>
          <w:szCs w:val="24"/>
        </w:rPr>
        <w:t xml:space="preserve">uar </w:t>
      </w:r>
      <w:r w:rsidR="00206C2B" w:rsidRPr="00A2537C">
        <w:rPr>
          <w:rFonts w:ascii="Times New Roman" w:hAnsi="Times New Roman" w:cs="Times New Roman"/>
          <w:sz w:val="24"/>
          <w:szCs w:val="24"/>
        </w:rPr>
        <w:t>la inestabilidad del sistema financiero</w:t>
      </w:r>
      <w:r w:rsidRPr="00A2537C">
        <w:rPr>
          <w:rFonts w:ascii="Times New Roman" w:hAnsi="Times New Roman" w:cs="Times New Roman"/>
          <w:sz w:val="24"/>
          <w:szCs w:val="24"/>
        </w:rPr>
        <w:t xml:space="preserve"> </w:t>
      </w:r>
      <w:r w:rsidR="001C1FF7" w:rsidRPr="00A2537C">
        <w:rPr>
          <w:rFonts w:ascii="Times New Roman" w:hAnsi="Times New Roman" w:cs="Times New Roman"/>
          <w:sz w:val="24"/>
          <w:szCs w:val="24"/>
        </w:rPr>
        <w:t xml:space="preserve">invocada por los </w:t>
      </w:r>
      <w:r w:rsidRPr="00A2537C">
        <w:rPr>
          <w:rFonts w:ascii="Times New Roman" w:hAnsi="Times New Roman" w:cs="Times New Roman"/>
          <w:sz w:val="24"/>
          <w:szCs w:val="24"/>
        </w:rPr>
        <w:t xml:space="preserve">choques de </w:t>
      </w:r>
      <w:r w:rsidR="001C1FF7" w:rsidRPr="00A2537C">
        <w:rPr>
          <w:rFonts w:ascii="Times New Roman" w:hAnsi="Times New Roman" w:cs="Times New Roman"/>
          <w:sz w:val="24"/>
          <w:szCs w:val="24"/>
        </w:rPr>
        <w:t>2008 y 2020</w:t>
      </w:r>
      <w:r w:rsidR="00206C2B" w:rsidRPr="00A2537C">
        <w:rPr>
          <w:rFonts w:ascii="Times New Roman" w:hAnsi="Times New Roman" w:cs="Times New Roman"/>
          <w:sz w:val="24"/>
          <w:szCs w:val="24"/>
        </w:rPr>
        <w:t xml:space="preserve">, a contrapelo del </w:t>
      </w:r>
      <w:r w:rsidR="009C7A90" w:rsidRPr="00A2537C">
        <w:rPr>
          <w:rFonts w:ascii="Times New Roman" w:hAnsi="Times New Roman" w:cs="Times New Roman"/>
          <w:sz w:val="24"/>
          <w:szCs w:val="24"/>
        </w:rPr>
        <w:t xml:space="preserve">impacto </w:t>
      </w:r>
      <w:r w:rsidRPr="00A2537C">
        <w:rPr>
          <w:rFonts w:ascii="Times New Roman" w:hAnsi="Times New Roman" w:cs="Times New Roman"/>
          <w:sz w:val="24"/>
          <w:szCs w:val="24"/>
        </w:rPr>
        <w:t xml:space="preserve">generado </w:t>
      </w:r>
      <w:r w:rsidR="009C7A90" w:rsidRPr="00A2537C">
        <w:rPr>
          <w:rFonts w:ascii="Times New Roman" w:hAnsi="Times New Roman" w:cs="Times New Roman"/>
          <w:sz w:val="24"/>
          <w:szCs w:val="24"/>
        </w:rPr>
        <w:t xml:space="preserve">sobre el </w:t>
      </w:r>
      <w:r w:rsidR="00206C2B" w:rsidRPr="00A2537C">
        <w:rPr>
          <w:rFonts w:ascii="Times New Roman" w:hAnsi="Times New Roman" w:cs="Times New Roman"/>
          <w:sz w:val="24"/>
          <w:szCs w:val="24"/>
        </w:rPr>
        <w:t>desempeño de la economía real</w:t>
      </w:r>
      <w:r w:rsidRPr="00A2537C">
        <w:rPr>
          <w:rFonts w:ascii="Times New Roman" w:hAnsi="Times New Roman" w:cs="Times New Roman"/>
          <w:sz w:val="24"/>
          <w:szCs w:val="24"/>
        </w:rPr>
        <w:t xml:space="preserve">, véase cuadro </w:t>
      </w:r>
      <w:r w:rsidR="00405E97" w:rsidRPr="00A2537C">
        <w:rPr>
          <w:rFonts w:ascii="Times New Roman" w:hAnsi="Times New Roman" w:cs="Times New Roman"/>
          <w:sz w:val="24"/>
          <w:szCs w:val="24"/>
        </w:rPr>
        <w:t>2</w:t>
      </w:r>
      <w:r w:rsidRPr="00A2537C">
        <w:rPr>
          <w:rFonts w:ascii="Times New Roman" w:hAnsi="Times New Roman" w:cs="Times New Roman"/>
          <w:sz w:val="24"/>
          <w:szCs w:val="24"/>
        </w:rPr>
        <w:t xml:space="preserve">. </w:t>
      </w:r>
      <w:r w:rsidR="001C1FF7" w:rsidRPr="00A2537C">
        <w:rPr>
          <w:rFonts w:ascii="Times New Roman" w:hAnsi="Times New Roman" w:cs="Times New Roman"/>
          <w:sz w:val="24"/>
          <w:szCs w:val="24"/>
        </w:rPr>
        <w:t xml:space="preserve">Sin embargo, </w:t>
      </w:r>
      <w:r w:rsidR="0014431C" w:rsidRPr="00A2537C">
        <w:rPr>
          <w:rFonts w:ascii="Times New Roman" w:hAnsi="Times New Roman" w:cs="Times New Roman"/>
          <w:sz w:val="24"/>
          <w:szCs w:val="24"/>
        </w:rPr>
        <w:t>en el horizonte de mediano y largo plazo</w:t>
      </w:r>
      <w:r w:rsidR="0096074A" w:rsidRPr="00A2537C">
        <w:rPr>
          <w:rFonts w:ascii="Times New Roman" w:hAnsi="Times New Roman" w:cs="Times New Roman"/>
          <w:sz w:val="24"/>
          <w:szCs w:val="24"/>
        </w:rPr>
        <w:t xml:space="preserve">, la ruta de bajas tasas de interés, instrumentada desde la crisis </w:t>
      </w:r>
      <w:proofErr w:type="spellStart"/>
      <w:r w:rsidR="0096074A" w:rsidRPr="00A2537C">
        <w:rPr>
          <w:rFonts w:ascii="Times New Roman" w:hAnsi="Times New Roman" w:cs="Times New Roman"/>
          <w:i/>
          <w:iCs/>
          <w:sz w:val="24"/>
          <w:szCs w:val="24"/>
        </w:rPr>
        <w:t>subprime</w:t>
      </w:r>
      <w:proofErr w:type="spellEnd"/>
      <w:r w:rsidR="0096074A" w:rsidRPr="00A2537C">
        <w:rPr>
          <w:rFonts w:ascii="Times New Roman" w:hAnsi="Times New Roman" w:cs="Times New Roman"/>
          <w:sz w:val="24"/>
          <w:szCs w:val="24"/>
        </w:rPr>
        <w:t xml:space="preserve">, ha creado una mayor preferencia por activos de mayor riesgo, en virtud de la pérdida de rentabilidad en la banca comercial, </w:t>
      </w:r>
      <w:r w:rsidR="00847ABE" w:rsidRPr="00A2537C">
        <w:rPr>
          <w:rFonts w:ascii="Times New Roman" w:hAnsi="Times New Roman" w:cs="Times New Roman"/>
          <w:sz w:val="24"/>
          <w:szCs w:val="24"/>
        </w:rPr>
        <w:t>impulsando con ello un proceso inflacionario sistemático de los activos financieros, con punto de inflexión al momento de la normalización de la política monetaria en Estados Unidos.</w:t>
      </w:r>
      <w:r w:rsidR="00847ABE">
        <w:rPr>
          <w:rFonts w:ascii="Times New Roman" w:hAnsi="Times New Roman" w:cs="Times New Roman"/>
          <w:sz w:val="24"/>
          <w:szCs w:val="24"/>
        </w:rPr>
        <w:t xml:space="preserve"> </w:t>
      </w:r>
    </w:p>
    <w:tbl>
      <w:tblPr>
        <w:tblStyle w:val="Tablaconcuadrcula"/>
        <w:tblW w:w="88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964"/>
        <w:gridCol w:w="964"/>
        <w:gridCol w:w="964"/>
        <w:gridCol w:w="964"/>
        <w:gridCol w:w="964"/>
        <w:gridCol w:w="964"/>
        <w:gridCol w:w="964"/>
        <w:gridCol w:w="964"/>
      </w:tblGrid>
      <w:tr w:rsidR="00E95917" w:rsidRPr="00E95917" w14:paraId="2FD8F891" w14:textId="77777777" w:rsidTr="00A43284">
        <w:trPr>
          <w:jc w:val="center"/>
        </w:trPr>
        <w:tc>
          <w:tcPr>
            <w:tcW w:w="8846" w:type="dxa"/>
            <w:gridSpan w:val="9"/>
            <w:tcBorders>
              <w:bottom w:val="single" w:sz="4" w:space="0" w:color="auto"/>
            </w:tcBorders>
            <w:vAlign w:val="center"/>
          </w:tcPr>
          <w:bookmarkEnd w:id="8"/>
          <w:bookmarkEnd w:id="9"/>
          <w:p w14:paraId="1BF7785B" w14:textId="77777777" w:rsidR="00960C84" w:rsidRDefault="00960C84" w:rsidP="00960C84">
            <w:pPr>
              <w:jc w:val="both"/>
              <w:rPr>
                <w:rFonts w:ascii="Times New Roman" w:hAnsi="Times New Roman" w:cs="Times New Roman"/>
                <w:b/>
                <w:bCs/>
              </w:rPr>
            </w:pPr>
            <w:r>
              <w:rPr>
                <w:rFonts w:ascii="Times New Roman" w:hAnsi="Times New Roman" w:cs="Times New Roman"/>
                <w:b/>
                <w:bCs/>
              </w:rPr>
              <w:t xml:space="preserve">Tabla </w:t>
            </w:r>
            <w:r w:rsidR="00405E97" w:rsidRPr="00960C84">
              <w:rPr>
                <w:rFonts w:ascii="Times New Roman" w:hAnsi="Times New Roman" w:cs="Times New Roman"/>
                <w:b/>
                <w:bCs/>
              </w:rPr>
              <w:t>2</w:t>
            </w:r>
          </w:p>
          <w:p w14:paraId="057D37F9" w14:textId="0D059353" w:rsidR="00E95917" w:rsidRPr="00960C84" w:rsidRDefault="00E95917" w:rsidP="00960C84">
            <w:pPr>
              <w:jc w:val="both"/>
              <w:rPr>
                <w:rFonts w:ascii="Times New Roman" w:hAnsi="Times New Roman" w:cs="Times New Roman"/>
                <w:b/>
                <w:bCs/>
              </w:rPr>
            </w:pPr>
            <w:r w:rsidRPr="00960C84">
              <w:rPr>
                <w:rFonts w:ascii="Times New Roman" w:hAnsi="Times New Roman" w:cs="Times New Roman"/>
                <w:b/>
                <w:bCs/>
              </w:rPr>
              <w:t xml:space="preserve">Estados Unidos: Funcionamiento económico, dinámica bursátil y deuda (2000-2020)  </w:t>
            </w:r>
          </w:p>
        </w:tc>
      </w:tr>
      <w:tr w:rsidR="007245B1" w:rsidRPr="00CD33C9" w14:paraId="792FCCF9" w14:textId="73EDB049" w:rsidTr="007245B1">
        <w:trPr>
          <w:jc w:val="center"/>
        </w:trPr>
        <w:tc>
          <w:tcPr>
            <w:tcW w:w="1134" w:type="dxa"/>
            <w:tcBorders>
              <w:bottom w:val="single" w:sz="4" w:space="0" w:color="auto"/>
            </w:tcBorders>
            <w:vAlign w:val="center"/>
          </w:tcPr>
          <w:p w14:paraId="0344043E" w14:textId="77777777" w:rsidR="007245B1" w:rsidRPr="00CD33C9" w:rsidRDefault="007245B1" w:rsidP="00A43284">
            <w:pPr>
              <w:spacing w:before="60" w:after="60"/>
              <w:jc w:val="center"/>
              <w:rPr>
                <w:rFonts w:ascii="Times New Roman" w:hAnsi="Times New Roman" w:cs="Times New Roman"/>
                <w:sz w:val="20"/>
                <w:szCs w:val="20"/>
              </w:rPr>
            </w:pPr>
            <w:r w:rsidRPr="00CD33C9">
              <w:rPr>
                <w:rFonts w:ascii="Times New Roman" w:hAnsi="Times New Roman" w:cs="Times New Roman"/>
                <w:sz w:val="20"/>
                <w:szCs w:val="20"/>
              </w:rPr>
              <w:t>Variable</w:t>
            </w:r>
          </w:p>
        </w:tc>
        <w:tc>
          <w:tcPr>
            <w:tcW w:w="964" w:type="dxa"/>
            <w:tcBorders>
              <w:bottom w:val="single" w:sz="4" w:space="0" w:color="auto"/>
            </w:tcBorders>
          </w:tcPr>
          <w:p w14:paraId="266DD894" w14:textId="6BDE1B4E" w:rsidR="007245B1" w:rsidRPr="007245B1" w:rsidRDefault="007245B1" w:rsidP="007245B1">
            <w:pPr>
              <w:jc w:val="center"/>
              <w:rPr>
                <w:rFonts w:ascii="Times New Roman" w:hAnsi="Times New Roman" w:cs="Times New Roman"/>
                <w:sz w:val="18"/>
                <w:szCs w:val="18"/>
              </w:rPr>
            </w:pPr>
            <w:r w:rsidRPr="007245B1">
              <w:rPr>
                <w:rFonts w:ascii="Times New Roman" w:hAnsi="Times New Roman" w:cs="Times New Roman"/>
                <w:sz w:val="18"/>
                <w:szCs w:val="18"/>
              </w:rPr>
              <w:t xml:space="preserve">Modelo </w:t>
            </w:r>
            <w:r w:rsidR="001619BF">
              <w:rPr>
                <w:rFonts w:ascii="Times New Roman" w:hAnsi="Times New Roman" w:cs="Times New Roman"/>
                <w:sz w:val="18"/>
                <w:szCs w:val="18"/>
              </w:rPr>
              <w:t>A</w:t>
            </w:r>
          </w:p>
          <w:p w14:paraId="63636B67" w14:textId="4CC55C83" w:rsidR="007245B1" w:rsidRPr="00BE520D" w:rsidRDefault="00BE520D" w:rsidP="007245B1">
            <w:pPr>
              <w:jc w:val="center"/>
              <w:rPr>
                <w:rFonts w:ascii="Times New Roman" w:hAnsi="Times New Roman" w:cs="Times New Roman"/>
                <w:i/>
                <w:iCs/>
                <w:sz w:val="18"/>
                <w:szCs w:val="18"/>
              </w:rPr>
            </w:pPr>
            <w:proofErr w:type="spellStart"/>
            <w:r w:rsidRPr="00BE520D">
              <w:rPr>
                <w:rFonts w:ascii="Times New Roman" w:eastAsiaTheme="minorEastAsia" w:hAnsi="Times New Roman" w:cs="Times New Roman"/>
                <w:i/>
                <w:iCs/>
                <w:sz w:val="18"/>
                <w:szCs w:val="18"/>
              </w:rPr>
              <w:t>dlnib</w:t>
            </w:r>
            <w:proofErr w:type="spellEnd"/>
          </w:p>
        </w:tc>
        <w:tc>
          <w:tcPr>
            <w:tcW w:w="964" w:type="dxa"/>
            <w:tcBorders>
              <w:bottom w:val="single" w:sz="4" w:space="0" w:color="auto"/>
            </w:tcBorders>
          </w:tcPr>
          <w:p w14:paraId="1272E6F7" w14:textId="6BF3753E" w:rsidR="007245B1" w:rsidRPr="007245B1" w:rsidRDefault="007245B1" w:rsidP="007245B1">
            <w:pPr>
              <w:jc w:val="center"/>
              <w:rPr>
                <w:rFonts w:ascii="Times New Roman" w:hAnsi="Times New Roman" w:cs="Times New Roman"/>
                <w:sz w:val="18"/>
                <w:szCs w:val="18"/>
              </w:rPr>
            </w:pPr>
            <w:r w:rsidRPr="007245B1">
              <w:rPr>
                <w:rFonts w:ascii="Times New Roman" w:hAnsi="Times New Roman" w:cs="Times New Roman"/>
                <w:sz w:val="18"/>
                <w:szCs w:val="18"/>
              </w:rPr>
              <w:t xml:space="preserve">Modelo </w:t>
            </w:r>
            <w:r w:rsidR="001619BF">
              <w:rPr>
                <w:rFonts w:ascii="Times New Roman" w:hAnsi="Times New Roman" w:cs="Times New Roman"/>
                <w:sz w:val="18"/>
                <w:szCs w:val="18"/>
              </w:rPr>
              <w:t>B</w:t>
            </w:r>
          </w:p>
          <w:p w14:paraId="781C470D" w14:textId="4CB639B0" w:rsidR="007245B1" w:rsidRPr="007245B1" w:rsidRDefault="00BE520D" w:rsidP="007245B1">
            <w:pPr>
              <w:jc w:val="center"/>
              <w:rPr>
                <w:rFonts w:ascii="Times New Roman" w:hAnsi="Times New Roman" w:cs="Times New Roman"/>
                <w:sz w:val="18"/>
                <w:szCs w:val="18"/>
              </w:rPr>
            </w:pPr>
            <w:proofErr w:type="spellStart"/>
            <w:r w:rsidRPr="00BE520D">
              <w:rPr>
                <w:rFonts w:ascii="Times New Roman" w:eastAsiaTheme="minorEastAsia" w:hAnsi="Times New Roman" w:cs="Times New Roman"/>
                <w:i/>
                <w:iCs/>
                <w:sz w:val="18"/>
                <w:szCs w:val="18"/>
              </w:rPr>
              <w:t>dlnib</w:t>
            </w:r>
            <w:proofErr w:type="spellEnd"/>
          </w:p>
        </w:tc>
        <w:tc>
          <w:tcPr>
            <w:tcW w:w="964" w:type="dxa"/>
            <w:tcBorders>
              <w:bottom w:val="single" w:sz="4" w:space="0" w:color="auto"/>
            </w:tcBorders>
          </w:tcPr>
          <w:p w14:paraId="64E21B8B" w14:textId="08757666" w:rsidR="007245B1" w:rsidRPr="007245B1" w:rsidRDefault="007245B1" w:rsidP="007245B1">
            <w:pPr>
              <w:jc w:val="center"/>
              <w:rPr>
                <w:rFonts w:ascii="Times New Roman" w:hAnsi="Times New Roman" w:cs="Times New Roman"/>
                <w:sz w:val="18"/>
                <w:szCs w:val="18"/>
              </w:rPr>
            </w:pPr>
            <w:r w:rsidRPr="007245B1">
              <w:rPr>
                <w:rFonts w:ascii="Times New Roman" w:hAnsi="Times New Roman" w:cs="Times New Roman"/>
                <w:sz w:val="18"/>
                <w:szCs w:val="18"/>
              </w:rPr>
              <w:t xml:space="preserve">Modelo </w:t>
            </w:r>
            <w:r w:rsidR="001619BF">
              <w:rPr>
                <w:rFonts w:ascii="Times New Roman" w:hAnsi="Times New Roman" w:cs="Times New Roman"/>
                <w:sz w:val="18"/>
                <w:szCs w:val="18"/>
              </w:rPr>
              <w:t>C</w:t>
            </w:r>
          </w:p>
          <w:p w14:paraId="6FDEBF7F" w14:textId="747B89BC" w:rsidR="007245B1" w:rsidRPr="007245B1" w:rsidRDefault="00BE520D" w:rsidP="007245B1">
            <w:pPr>
              <w:jc w:val="center"/>
              <w:rPr>
                <w:rFonts w:ascii="Times New Roman" w:hAnsi="Times New Roman" w:cs="Times New Roman"/>
                <w:sz w:val="18"/>
                <w:szCs w:val="18"/>
              </w:rPr>
            </w:pPr>
            <w:proofErr w:type="spellStart"/>
            <w:r w:rsidRPr="00BE520D">
              <w:rPr>
                <w:rFonts w:ascii="Times New Roman" w:eastAsiaTheme="minorEastAsia" w:hAnsi="Times New Roman" w:cs="Times New Roman"/>
                <w:i/>
                <w:iCs/>
                <w:sz w:val="18"/>
                <w:szCs w:val="18"/>
              </w:rPr>
              <w:t>dln</w:t>
            </w:r>
            <w:r>
              <w:rPr>
                <w:rFonts w:ascii="Times New Roman" w:eastAsiaTheme="minorEastAsia" w:hAnsi="Times New Roman" w:cs="Times New Roman"/>
                <w:i/>
                <w:iCs/>
                <w:sz w:val="18"/>
                <w:szCs w:val="18"/>
              </w:rPr>
              <w:t>y</w:t>
            </w:r>
            <w:proofErr w:type="spellEnd"/>
          </w:p>
        </w:tc>
        <w:tc>
          <w:tcPr>
            <w:tcW w:w="964" w:type="dxa"/>
            <w:tcBorders>
              <w:bottom w:val="single" w:sz="4" w:space="0" w:color="auto"/>
            </w:tcBorders>
          </w:tcPr>
          <w:p w14:paraId="6FB3E8D5" w14:textId="0033FA4B" w:rsidR="007245B1" w:rsidRPr="007245B1" w:rsidRDefault="007245B1" w:rsidP="007245B1">
            <w:pPr>
              <w:jc w:val="center"/>
              <w:rPr>
                <w:rFonts w:ascii="Times New Roman" w:hAnsi="Times New Roman" w:cs="Times New Roman"/>
                <w:sz w:val="18"/>
                <w:szCs w:val="18"/>
              </w:rPr>
            </w:pPr>
            <w:r w:rsidRPr="007245B1">
              <w:rPr>
                <w:rFonts w:ascii="Times New Roman" w:hAnsi="Times New Roman" w:cs="Times New Roman"/>
                <w:sz w:val="18"/>
                <w:szCs w:val="18"/>
              </w:rPr>
              <w:t xml:space="preserve">Modelo </w:t>
            </w:r>
            <w:r w:rsidR="001619BF">
              <w:rPr>
                <w:rFonts w:ascii="Times New Roman" w:hAnsi="Times New Roman" w:cs="Times New Roman"/>
                <w:sz w:val="18"/>
                <w:szCs w:val="18"/>
              </w:rPr>
              <w:t>D</w:t>
            </w:r>
          </w:p>
          <w:p w14:paraId="4F655C0E" w14:textId="43DB441D" w:rsidR="007245B1" w:rsidRPr="00BE520D" w:rsidRDefault="00BE520D" w:rsidP="007245B1">
            <w:pPr>
              <w:jc w:val="center"/>
              <w:rPr>
                <w:rFonts w:ascii="Times New Roman" w:hAnsi="Times New Roman" w:cs="Times New Roman"/>
                <w:i/>
                <w:iCs/>
                <w:sz w:val="18"/>
                <w:szCs w:val="18"/>
              </w:rPr>
            </w:pPr>
            <w:proofErr w:type="spellStart"/>
            <w:r w:rsidRPr="00BE520D">
              <w:rPr>
                <w:rFonts w:ascii="Times New Roman" w:eastAsiaTheme="minorEastAsia" w:hAnsi="Times New Roman" w:cs="Times New Roman"/>
                <w:i/>
                <w:iCs/>
                <w:sz w:val="18"/>
                <w:szCs w:val="18"/>
              </w:rPr>
              <w:t>dlny</w:t>
            </w:r>
            <w:proofErr w:type="spellEnd"/>
          </w:p>
        </w:tc>
        <w:tc>
          <w:tcPr>
            <w:tcW w:w="964" w:type="dxa"/>
            <w:tcBorders>
              <w:bottom w:val="single" w:sz="4" w:space="0" w:color="auto"/>
            </w:tcBorders>
          </w:tcPr>
          <w:p w14:paraId="74095D18" w14:textId="0C975F02" w:rsidR="007245B1" w:rsidRPr="001029EC" w:rsidRDefault="007245B1" w:rsidP="007245B1">
            <w:pPr>
              <w:jc w:val="center"/>
              <w:rPr>
                <w:rFonts w:ascii="Times New Roman" w:hAnsi="Times New Roman" w:cs="Times New Roman"/>
                <w:sz w:val="18"/>
                <w:szCs w:val="18"/>
              </w:rPr>
            </w:pPr>
            <w:r w:rsidRPr="001029EC">
              <w:rPr>
                <w:rFonts w:ascii="Times New Roman" w:hAnsi="Times New Roman" w:cs="Times New Roman"/>
                <w:sz w:val="18"/>
                <w:szCs w:val="18"/>
              </w:rPr>
              <w:t xml:space="preserve">Modelo </w:t>
            </w:r>
            <w:r w:rsidR="001619BF">
              <w:rPr>
                <w:rFonts w:ascii="Times New Roman" w:hAnsi="Times New Roman" w:cs="Times New Roman"/>
                <w:sz w:val="18"/>
                <w:szCs w:val="18"/>
              </w:rPr>
              <w:t>E</w:t>
            </w:r>
          </w:p>
          <w:p w14:paraId="7E8954BB" w14:textId="0BBD91A8" w:rsidR="007245B1" w:rsidRPr="00BE520D" w:rsidRDefault="00BE520D" w:rsidP="007245B1">
            <w:pPr>
              <w:jc w:val="center"/>
              <w:rPr>
                <w:rFonts w:ascii="Times New Roman" w:hAnsi="Times New Roman" w:cs="Times New Roman"/>
                <w:i/>
                <w:iCs/>
                <w:sz w:val="18"/>
                <w:szCs w:val="18"/>
              </w:rPr>
            </w:pPr>
            <w:proofErr w:type="spellStart"/>
            <w:r w:rsidRPr="00BE520D">
              <w:rPr>
                <w:rFonts w:ascii="Times New Roman" w:hAnsi="Times New Roman" w:cs="Times New Roman"/>
                <w:i/>
                <w:iCs/>
                <w:sz w:val="18"/>
                <w:szCs w:val="18"/>
              </w:rPr>
              <w:t>dlnp</w:t>
            </w:r>
            <w:proofErr w:type="spellEnd"/>
          </w:p>
        </w:tc>
        <w:tc>
          <w:tcPr>
            <w:tcW w:w="964" w:type="dxa"/>
            <w:tcBorders>
              <w:bottom w:val="single" w:sz="4" w:space="0" w:color="auto"/>
            </w:tcBorders>
          </w:tcPr>
          <w:p w14:paraId="19F924B8" w14:textId="62262F6C" w:rsidR="007245B1" w:rsidRPr="001029EC" w:rsidRDefault="007245B1" w:rsidP="007245B1">
            <w:pPr>
              <w:jc w:val="center"/>
              <w:rPr>
                <w:rFonts w:ascii="Times New Roman" w:hAnsi="Times New Roman" w:cs="Times New Roman"/>
                <w:sz w:val="18"/>
                <w:szCs w:val="18"/>
              </w:rPr>
            </w:pPr>
            <w:r w:rsidRPr="001029EC">
              <w:rPr>
                <w:rFonts w:ascii="Times New Roman" w:hAnsi="Times New Roman" w:cs="Times New Roman"/>
                <w:sz w:val="18"/>
                <w:szCs w:val="18"/>
              </w:rPr>
              <w:t xml:space="preserve">Modelo </w:t>
            </w:r>
            <w:r w:rsidR="001619BF">
              <w:rPr>
                <w:rFonts w:ascii="Times New Roman" w:hAnsi="Times New Roman" w:cs="Times New Roman"/>
                <w:sz w:val="18"/>
                <w:szCs w:val="18"/>
              </w:rPr>
              <w:t>F</w:t>
            </w:r>
          </w:p>
          <w:p w14:paraId="75848D5B" w14:textId="01326D69" w:rsidR="007245B1" w:rsidRPr="001029EC" w:rsidRDefault="00BE520D" w:rsidP="007245B1">
            <w:pPr>
              <w:jc w:val="center"/>
              <w:rPr>
                <w:rFonts w:ascii="Times New Roman" w:hAnsi="Times New Roman" w:cs="Times New Roman"/>
                <w:sz w:val="18"/>
                <w:szCs w:val="18"/>
              </w:rPr>
            </w:pPr>
            <w:proofErr w:type="spellStart"/>
            <w:r w:rsidRPr="00BE520D">
              <w:rPr>
                <w:rFonts w:ascii="Times New Roman" w:hAnsi="Times New Roman" w:cs="Times New Roman"/>
                <w:i/>
                <w:iCs/>
                <w:sz w:val="18"/>
                <w:szCs w:val="18"/>
              </w:rPr>
              <w:t>dlnp</w:t>
            </w:r>
            <w:proofErr w:type="spellEnd"/>
          </w:p>
        </w:tc>
        <w:tc>
          <w:tcPr>
            <w:tcW w:w="964" w:type="dxa"/>
            <w:tcBorders>
              <w:bottom w:val="single" w:sz="4" w:space="0" w:color="auto"/>
            </w:tcBorders>
          </w:tcPr>
          <w:p w14:paraId="5AECEAAE" w14:textId="18CA721B" w:rsidR="007245B1" w:rsidRPr="001029EC" w:rsidRDefault="007245B1" w:rsidP="007245B1">
            <w:pPr>
              <w:jc w:val="center"/>
              <w:rPr>
                <w:rFonts w:ascii="Times New Roman" w:hAnsi="Times New Roman" w:cs="Times New Roman"/>
                <w:sz w:val="18"/>
                <w:szCs w:val="18"/>
              </w:rPr>
            </w:pPr>
            <w:r w:rsidRPr="001029EC">
              <w:rPr>
                <w:rFonts w:ascii="Times New Roman" w:hAnsi="Times New Roman" w:cs="Times New Roman"/>
                <w:sz w:val="18"/>
                <w:szCs w:val="18"/>
              </w:rPr>
              <w:t xml:space="preserve">Modelo </w:t>
            </w:r>
            <w:r w:rsidR="001619BF">
              <w:rPr>
                <w:rFonts w:ascii="Times New Roman" w:hAnsi="Times New Roman" w:cs="Times New Roman"/>
                <w:sz w:val="18"/>
                <w:szCs w:val="18"/>
              </w:rPr>
              <w:t>G</w:t>
            </w:r>
          </w:p>
          <w:p w14:paraId="0090D57D" w14:textId="5B75911D" w:rsidR="007245B1" w:rsidRPr="00BE520D" w:rsidRDefault="00BE520D" w:rsidP="007245B1">
            <w:pPr>
              <w:jc w:val="center"/>
              <w:rPr>
                <w:rFonts w:ascii="Times New Roman" w:hAnsi="Times New Roman" w:cs="Times New Roman"/>
                <w:i/>
                <w:iCs/>
                <w:sz w:val="18"/>
                <w:szCs w:val="18"/>
              </w:rPr>
            </w:pPr>
            <w:proofErr w:type="spellStart"/>
            <w:r w:rsidRPr="00BE520D">
              <w:rPr>
                <w:rFonts w:ascii="Times New Roman" w:eastAsiaTheme="minorEastAsia" w:hAnsi="Times New Roman" w:cs="Times New Roman"/>
                <w:i/>
                <w:iCs/>
                <w:sz w:val="18"/>
                <w:szCs w:val="18"/>
              </w:rPr>
              <w:t>dlni</w:t>
            </w:r>
            <w:proofErr w:type="spellEnd"/>
          </w:p>
        </w:tc>
        <w:tc>
          <w:tcPr>
            <w:tcW w:w="964" w:type="dxa"/>
            <w:tcBorders>
              <w:bottom w:val="single" w:sz="4" w:space="0" w:color="auto"/>
            </w:tcBorders>
          </w:tcPr>
          <w:p w14:paraId="256B11C3" w14:textId="6BA3F926" w:rsidR="007245B1" w:rsidRPr="001029EC" w:rsidRDefault="007245B1" w:rsidP="007245B1">
            <w:pPr>
              <w:jc w:val="center"/>
              <w:rPr>
                <w:rFonts w:ascii="Times New Roman" w:hAnsi="Times New Roman" w:cs="Times New Roman"/>
                <w:sz w:val="18"/>
                <w:szCs w:val="18"/>
              </w:rPr>
            </w:pPr>
            <w:r w:rsidRPr="001029EC">
              <w:rPr>
                <w:rFonts w:ascii="Times New Roman" w:hAnsi="Times New Roman" w:cs="Times New Roman"/>
                <w:sz w:val="18"/>
                <w:szCs w:val="18"/>
              </w:rPr>
              <w:t xml:space="preserve">Modelo </w:t>
            </w:r>
            <w:r w:rsidR="001619BF">
              <w:rPr>
                <w:rFonts w:ascii="Times New Roman" w:hAnsi="Times New Roman" w:cs="Times New Roman"/>
                <w:sz w:val="18"/>
                <w:szCs w:val="18"/>
              </w:rPr>
              <w:t>H</w:t>
            </w:r>
          </w:p>
          <w:p w14:paraId="4F5ABE5A" w14:textId="4C4B5553" w:rsidR="007245B1" w:rsidRPr="001029EC" w:rsidRDefault="00BE520D" w:rsidP="007245B1">
            <w:pPr>
              <w:jc w:val="center"/>
              <w:rPr>
                <w:rFonts w:ascii="Times New Roman" w:hAnsi="Times New Roman" w:cs="Times New Roman"/>
                <w:sz w:val="18"/>
                <w:szCs w:val="18"/>
              </w:rPr>
            </w:pPr>
            <w:proofErr w:type="spellStart"/>
            <w:r w:rsidRPr="00BE520D">
              <w:rPr>
                <w:rFonts w:ascii="Times New Roman" w:eastAsiaTheme="minorEastAsia" w:hAnsi="Times New Roman" w:cs="Times New Roman"/>
                <w:i/>
                <w:iCs/>
                <w:sz w:val="18"/>
                <w:szCs w:val="18"/>
              </w:rPr>
              <w:t>dlni</w:t>
            </w:r>
            <w:proofErr w:type="spellEnd"/>
          </w:p>
        </w:tc>
      </w:tr>
      <w:tr w:rsidR="001029EC" w:rsidRPr="00065AB1" w14:paraId="563A2A6D" w14:textId="67456766" w:rsidTr="004E2734">
        <w:trPr>
          <w:jc w:val="center"/>
        </w:trPr>
        <w:tc>
          <w:tcPr>
            <w:tcW w:w="1134" w:type="dxa"/>
            <w:tcBorders>
              <w:top w:val="single" w:sz="4" w:space="0" w:color="auto"/>
            </w:tcBorders>
            <w:vAlign w:val="center"/>
          </w:tcPr>
          <w:p w14:paraId="39D76278" w14:textId="77777777" w:rsidR="001029EC" w:rsidRPr="00CD33C9" w:rsidRDefault="001029EC" w:rsidP="001029EC">
            <w:pPr>
              <w:spacing w:before="60" w:after="60"/>
              <w:jc w:val="center"/>
              <w:rPr>
                <w:rFonts w:ascii="Times New Roman" w:hAnsi="Times New Roman" w:cs="Times New Roman"/>
                <w:i/>
                <w:iCs/>
                <w:sz w:val="20"/>
                <w:szCs w:val="20"/>
              </w:rPr>
            </w:pPr>
            <w:r w:rsidRPr="00CD33C9">
              <w:rPr>
                <w:rFonts w:ascii="Times New Roman" w:hAnsi="Times New Roman" w:cs="Times New Roman"/>
                <w:i/>
                <w:iCs/>
                <w:sz w:val="20"/>
                <w:szCs w:val="20"/>
              </w:rPr>
              <w:t>Constante</w:t>
            </w:r>
          </w:p>
        </w:tc>
        <w:tc>
          <w:tcPr>
            <w:tcW w:w="964" w:type="dxa"/>
            <w:tcBorders>
              <w:top w:val="single" w:sz="4" w:space="0" w:color="auto"/>
            </w:tcBorders>
            <w:vAlign w:val="center"/>
          </w:tcPr>
          <w:p w14:paraId="48EBA7B3"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-29.1987</w:t>
            </w:r>
          </w:p>
          <w:p w14:paraId="14E3414F" w14:textId="138D5B04"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tcBorders>
              <w:top w:val="single" w:sz="4" w:space="0" w:color="auto"/>
            </w:tcBorders>
            <w:vAlign w:val="center"/>
          </w:tcPr>
          <w:p w14:paraId="30E96BE4"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-17.4498</w:t>
            </w:r>
          </w:p>
          <w:p w14:paraId="4565E9B1" w14:textId="05DCCF97"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tcBorders>
              <w:top w:val="single" w:sz="4" w:space="0" w:color="auto"/>
            </w:tcBorders>
            <w:vAlign w:val="center"/>
          </w:tcPr>
          <w:p w14:paraId="03148B75" w14:textId="77777777" w:rsidR="001029EC" w:rsidRDefault="001029EC" w:rsidP="001029EC">
            <w:pPr>
              <w:jc w:val="center"/>
              <w:rPr>
                <w:rFonts w:ascii="Times New Roman" w:hAnsi="Times New Roman" w:cs="Times New Roman"/>
                <w:i/>
                <w:iCs/>
                <w:sz w:val="20"/>
                <w:szCs w:val="20"/>
              </w:rPr>
            </w:pPr>
            <w:r w:rsidRPr="008717BD">
              <w:rPr>
                <w:rFonts w:ascii="Times New Roman" w:hAnsi="Times New Roman" w:cs="Times New Roman"/>
                <w:i/>
                <w:iCs/>
                <w:sz w:val="20"/>
                <w:szCs w:val="20"/>
              </w:rPr>
              <w:t>-</w:t>
            </w:r>
            <w:r>
              <w:rPr>
                <w:rFonts w:ascii="Times New Roman" w:hAnsi="Times New Roman" w:cs="Times New Roman"/>
                <w:i/>
                <w:iCs/>
                <w:sz w:val="20"/>
                <w:szCs w:val="20"/>
              </w:rPr>
              <w:t>0</w:t>
            </w:r>
            <w:r w:rsidRPr="008717BD">
              <w:rPr>
                <w:rFonts w:ascii="Times New Roman" w:hAnsi="Times New Roman" w:cs="Times New Roman"/>
                <w:i/>
                <w:iCs/>
                <w:sz w:val="20"/>
                <w:szCs w:val="20"/>
              </w:rPr>
              <w:t>.</w:t>
            </w:r>
            <w:r w:rsidRPr="00100B33">
              <w:rPr>
                <w:rFonts w:ascii="Times New Roman" w:hAnsi="Times New Roman" w:cs="Times New Roman"/>
                <w:i/>
                <w:iCs/>
                <w:sz w:val="20"/>
                <w:szCs w:val="20"/>
              </w:rPr>
              <w:t>5075</w:t>
            </w:r>
          </w:p>
          <w:p w14:paraId="5F5322A6" w14:textId="4636B270"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[0.441]</w:t>
            </w:r>
          </w:p>
        </w:tc>
        <w:tc>
          <w:tcPr>
            <w:tcW w:w="964" w:type="dxa"/>
            <w:tcBorders>
              <w:top w:val="single" w:sz="4" w:space="0" w:color="auto"/>
            </w:tcBorders>
            <w:vAlign w:val="center"/>
          </w:tcPr>
          <w:p w14:paraId="3B684F9A" w14:textId="77777777" w:rsidR="001029EC" w:rsidRDefault="001029EC" w:rsidP="001029EC">
            <w:pPr>
              <w:jc w:val="center"/>
              <w:rPr>
                <w:rFonts w:ascii="Times New Roman" w:hAnsi="Times New Roman" w:cs="Times New Roman"/>
                <w:i/>
                <w:iCs/>
                <w:sz w:val="20"/>
                <w:szCs w:val="20"/>
              </w:rPr>
            </w:pPr>
            <w:r w:rsidRPr="00100B33">
              <w:rPr>
                <w:rFonts w:ascii="Times New Roman" w:hAnsi="Times New Roman" w:cs="Times New Roman"/>
                <w:i/>
                <w:iCs/>
                <w:sz w:val="20"/>
                <w:szCs w:val="20"/>
              </w:rPr>
              <w:t>-</w:t>
            </w:r>
            <w:r>
              <w:rPr>
                <w:rFonts w:ascii="Times New Roman" w:hAnsi="Times New Roman" w:cs="Times New Roman"/>
                <w:i/>
                <w:iCs/>
                <w:sz w:val="20"/>
                <w:szCs w:val="20"/>
              </w:rPr>
              <w:t>0</w:t>
            </w:r>
            <w:r w:rsidRPr="00100B33">
              <w:rPr>
                <w:rFonts w:ascii="Times New Roman" w:hAnsi="Times New Roman" w:cs="Times New Roman"/>
                <w:i/>
                <w:iCs/>
                <w:sz w:val="20"/>
                <w:szCs w:val="20"/>
              </w:rPr>
              <w:t>.3622</w:t>
            </w:r>
          </w:p>
          <w:p w14:paraId="29B10ADF" w14:textId="2BC29A6B"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[0.590]</w:t>
            </w:r>
          </w:p>
        </w:tc>
        <w:tc>
          <w:tcPr>
            <w:tcW w:w="964" w:type="dxa"/>
            <w:tcBorders>
              <w:top w:val="single" w:sz="4" w:space="0" w:color="auto"/>
            </w:tcBorders>
            <w:vAlign w:val="center"/>
          </w:tcPr>
          <w:p w14:paraId="7775BF14"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-3.3679</w:t>
            </w:r>
          </w:p>
          <w:p w14:paraId="3CA86B33" w14:textId="7B3065D6"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[0.088]</w:t>
            </w:r>
          </w:p>
        </w:tc>
        <w:tc>
          <w:tcPr>
            <w:tcW w:w="964" w:type="dxa"/>
            <w:tcBorders>
              <w:top w:val="single" w:sz="4" w:space="0" w:color="auto"/>
            </w:tcBorders>
            <w:vAlign w:val="center"/>
          </w:tcPr>
          <w:p w14:paraId="0ABFC173"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-3.9043</w:t>
            </w:r>
          </w:p>
          <w:p w14:paraId="4795BB2B" w14:textId="796D123F"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[0.006]</w:t>
            </w:r>
          </w:p>
        </w:tc>
        <w:tc>
          <w:tcPr>
            <w:tcW w:w="964" w:type="dxa"/>
            <w:tcBorders>
              <w:top w:val="single" w:sz="4" w:space="0" w:color="auto"/>
            </w:tcBorders>
            <w:vAlign w:val="center"/>
          </w:tcPr>
          <w:p w14:paraId="4A1CFDE6"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0.1043</w:t>
            </w:r>
          </w:p>
          <w:p w14:paraId="6C9C9E27" w14:textId="55454FF9"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[0.003]</w:t>
            </w:r>
          </w:p>
        </w:tc>
        <w:tc>
          <w:tcPr>
            <w:tcW w:w="964" w:type="dxa"/>
            <w:tcBorders>
              <w:top w:val="single" w:sz="4" w:space="0" w:color="auto"/>
            </w:tcBorders>
            <w:vAlign w:val="center"/>
          </w:tcPr>
          <w:p w14:paraId="5F19E11E"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-0.0152</w:t>
            </w:r>
          </w:p>
          <w:p w14:paraId="4F6C1FCD" w14:textId="7EDE17AF"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[0.710]</w:t>
            </w:r>
          </w:p>
        </w:tc>
      </w:tr>
      <w:tr w:rsidR="001029EC" w:rsidRPr="00065AB1" w14:paraId="24FA7401" w14:textId="020CC907" w:rsidTr="004E2734">
        <w:trPr>
          <w:jc w:val="center"/>
        </w:trPr>
        <w:tc>
          <w:tcPr>
            <w:tcW w:w="1134" w:type="dxa"/>
            <w:vAlign w:val="center"/>
          </w:tcPr>
          <w:p w14:paraId="107A6E38" w14:textId="36BFD1BA" w:rsidR="001029EC" w:rsidRPr="00CD33C9" w:rsidRDefault="0005145B" w:rsidP="001029EC">
            <w:pPr>
              <w:spacing w:before="60" w:after="120"/>
              <w:jc w:val="center"/>
              <w:rPr>
                <w:rFonts w:ascii="Times New Roman" w:hAnsi="Times New Roman" w:cs="Times New Roman"/>
                <w:i/>
                <w:iCs/>
                <w:sz w:val="20"/>
                <w:szCs w:val="20"/>
              </w:rPr>
            </w:pPr>
            <w:r>
              <w:rPr>
                <w:rFonts w:ascii="Times New Roman" w:hAnsi="Times New Roman" w:cs="Times New Roman"/>
                <w:i/>
                <w:iCs/>
                <w:sz w:val="20"/>
                <w:szCs w:val="20"/>
              </w:rPr>
              <w:t>p</w:t>
            </w:r>
          </w:p>
        </w:tc>
        <w:tc>
          <w:tcPr>
            <w:tcW w:w="964" w:type="dxa"/>
            <w:vAlign w:val="center"/>
          </w:tcPr>
          <w:p w14:paraId="78738482" w14:textId="63AABBAF"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20EACE58" w14:textId="27EF06FC"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34ED5670" w14:textId="17EBC64B"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482F9619" w14:textId="4B22EF6E"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21F8D55B" w14:textId="6861E0F0"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292253ED" w14:textId="0DFF4051"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293F81F9"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0.3221</w:t>
            </w:r>
          </w:p>
          <w:p w14:paraId="3F88C4F2" w14:textId="0469E86E"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[0.062]</w:t>
            </w:r>
          </w:p>
        </w:tc>
        <w:tc>
          <w:tcPr>
            <w:tcW w:w="964" w:type="dxa"/>
            <w:vAlign w:val="center"/>
          </w:tcPr>
          <w:p w14:paraId="6E067590"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0.5823</w:t>
            </w:r>
          </w:p>
          <w:p w14:paraId="7CF8429E" w14:textId="08D8F899"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[0.023]</w:t>
            </w:r>
          </w:p>
        </w:tc>
      </w:tr>
      <w:tr w:rsidR="001029EC" w14:paraId="21AE6A7F" w14:textId="5B209BE9" w:rsidTr="004E2734">
        <w:trPr>
          <w:jc w:val="center"/>
        </w:trPr>
        <w:tc>
          <w:tcPr>
            <w:tcW w:w="1134" w:type="dxa"/>
            <w:vAlign w:val="center"/>
          </w:tcPr>
          <w:p w14:paraId="37411A16" w14:textId="0C90C3F8" w:rsidR="001029EC" w:rsidRPr="00CD33C9" w:rsidRDefault="0005145B" w:rsidP="001029EC">
            <w:pPr>
              <w:spacing w:before="60" w:after="120"/>
              <w:jc w:val="center"/>
              <w:rPr>
                <w:rFonts w:ascii="Times New Roman" w:hAnsi="Times New Roman" w:cs="Times New Roman"/>
                <w:i/>
                <w:iCs/>
                <w:sz w:val="20"/>
                <w:szCs w:val="20"/>
              </w:rPr>
            </w:pPr>
            <w:r>
              <w:rPr>
                <w:rFonts w:ascii="Times New Roman" w:hAnsi="Times New Roman" w:cs="Times New Roman"/>
                <w:i/>
                <w:iCs/>
                <w:sz w:val="20"/>
                <w:szCs w:val="20"/>
              </w:rPr>
              <w:t>y</w:t>
            </w:r>
          </w:p>
        </w:tc>
        <w:tc>
          <w:tcPr>
            <w:tcW w:w="964" w:type="dxa"/>
            <w:vAlign w:val="center"/>
          </w:tcPr>
          <w:p w14:paraId="2F5E8677" w14:textId="1648340B"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6B013EBE"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2.8471</w:t>
            </w:r>
          </w:p>
          <w:p w14:paraId="73C23655" w14:textId="29D0FA6F"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[0.017]</w:t>
            </w:r>
          </w:p>
        </w:tc>
        <w:tc>
          <w:tcPr>
            <w:tcW w:w="964" w:type="dxa"/>
            <w:vAlign w:val="center"/>
          </w:tcPr>
          <w:p w14:paraId="55AC7C8C" w14:textId="51242E18"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1BEE842F" w14:textId="74092A47"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145310D6"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0.6784</w:t>
            </w:r>
          </w:p>
          <w:p w14:paraId="6471B7E8" w14:textId="51B99810"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580B921A"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0.5363</w:t>
            </w:r>
          </w:p>
          <w:p w14:paraId="68BC7A58" w14:textId="4EF0C5B0"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06C5ACA0"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0.0409</w:t>
            </w:r>
          </w:p>
          <w:p w14:paraId="0D0A24DF" w14:textId="687C1B96"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[0.003]</w:t>
            </w:r>
          </w:p>
        </w:tc>
        <w:tc>
          <w:tcPr>
            <w:tcW w:w="964" w:type="dxa"/>
            <w:vAlign w:val="center"/>
          </w:tcPr>
          <w:p w14:paraId="7C3B42CC"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0.0458</w:t>
            </w:r>
          </w:p>
          <w:p w14:paraId="59352FB7" w14:textId="087E8F3D"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[0.001]</w:t>
            </w:r>
          </w:p>
        </w:tc>
      </w:tr>
      <w:tr w:rsidR="001029EC" w14:paraId="05AB054D" w14:textId="68745BDD" w:rsidTr="004E2734">
        <w:trPr>
          <w:jc w:val="center"/>
        </w:trPr>
        <w:tc>
          <w:tcPr>
            <w:tcW w:w="1134" w:type="dxa"/>
            <w:vAlign w:val="center"/>
          </w:tcPr>
          <w:p w14:paraId="3B384C86" w14:textId="6A83EFC5" w:rsidR="001029EC" w:rsidRPr="00CD33C9" w:rsidRDefault="0005145B" w:rsidP="001029EC">
            <w:pPr>
              <w:spacing w:before="60" w:after="120"/>
              <w:jc w:val="center"/>
              <w:rPr>
                <w:rFonts w:ascii="Times New Roman" w:hAnsi="Times New Roman" w:cs="Times New Roman"/>
                <w:i/>
                <w:iCs/>
                <w:sz w:val="20"/>
                <w:szCs w:val="20"/>
              </w:rPr>
            </w:pPr>
            <w:r>
              <w:rPr>
                <w:rFonts w:ascii="Times New Roman" w:hAnsi="Times New Roman" w:cs="Times New Roman"/>
                <w:i/>
                <w:iCs/>
                <w:sz w:val="20"/>
                <w:szCs w:val="20"/>
              </w:rPr>
              <w:t>Deuda</w:t>
            </w:r>
          </w:p>
        </w:tc>
        <w:tc>
          <w:tcPr>
            <w:tcW w:w="964" w:type="dxa"/>
            <w:vAlign w:val="center"/>
          </w:tcPr>
          <w:p w14:paraId="1EA7E4A6" w14:textId="5B136F9C"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2.0963</w:t>
            </w:r>
          </w:p>
          <w:p w14:paraId="1C592663" w14:textId="29FB7BB7"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2FC5D2EE" w14:textId="4C39044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1.6218</w:t>
            </w:r>
          </w:p>
          <w:p w14:paraId="7B30314D" w14:textId="5339B7D2"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[0.009]</w:t>
            </w:r>
          </w:p>
        </w:tc>
        <w:tc>
          <w:tcPr>
            <w:tcW w:w="964" w:type="dxa"/>
            <w:vAlign w:val="center"/>
          </w:tcPr>
          <w:p w14:paraId="684DD871" w14:textId="0A05232D" w:rsidR="001029EC" w:rsidRDefault="001029EC" w:rsidP="001029EC">
            <w:pPr>
              <w:jc w:val="center"/>
              <w:rPr>
                <w:rFonts w:ascii="Times New Roman" w:hAnsi="Times New Roman" w:cs="Times New Roman"/>
                <w:i/>
                <w:iCs/>
                <w:sz w:val="20"/>
                <w:szCs w:val="20"/>
              </w:rPr>
            </w:pPr>
            <w:r w:rsidRPr="008717BD">
              <w:rPr>
                <w:rFonts w:ascii="Times New Roman" w:hAnsi="Times New Roman" w:cs="Times New Roman"/>
                <w:i/>
                <w:iCs/>
                <w:sz w:val="20"/>
                <w:szCs w:val="20"/>
              </w:rPr>
              <w:t>-</w:t>
            </w:r>
            <w:r>
              <w:rPr>
                <w:rFonts w:ascii="Times New Roman" w:hAnsi="Times New Roman" w:cs="Times New Roman"/>
                <w:i/>
                <w:iCs/>
                <w:sz w:val="20"/>
                <w:szCs w:val="20"/>
              </w:rPr>
              <w:t>0</w:t>
            </w:r>
            <w:r w:rsidRPr="008717BD">
              <w:rPr>
                <w:rFonts w:ascii="Times New Roman" w:hAnsi="Times New Roman" w:cs="Times New Roman"/>
                <w:i/>
                <w:iCs/>
                <w:sz w:val="20"/>
                <w:szCs w:val="20"/>
              </w:rPr>
              <w:t>.</w:t>
            </w:r>
            <w:r w:rsidRPr="006A35B3">
              <w:rPr>
                <w:rFonts w:ascii="Times New Roman" w:hAnsi="Times New Roman" w:cs="Times New Roman"/>
                <w:i/>
                <w:iCs/>
                <w:sz w:val="20"/>
                <w:szCs w:val="20"/>
              </w:rPr>
              <w:t>1528</w:t>
            </w:r>
          </w:p>
          <w:p w14:paraId="7212FB63" w14:textId="0D754923"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[0.000]</w:t>
            </w:r>
          </w:p>
        </w:tc>
        <w:tc>
          <w:tcPr>
            <w:tcW w:w="964" w:type="dxa"/>
            <w:vAlign w:val="center"/>
          </w:tcPr>
          <w:p w14:paraId="67836E46" w14:textId="13AD9B9A" w:rsidR="001029EC" w:rsidRDefault="001029EC" w:rsidP="001029EC">
            <w:pPr>
              <w:jc w:val="center"/>
              <w:rPr>
                <w:rFonts w:ascii="Times New Roman" w:hAnsi="Times New Roman" w:cs="Times New Roman"/>
                <w:i/>
                <w:iCs/>
                <w:sz w:val="20"/>
                <w:szCs w:val="20"/>
              </w:rPr>
            </w:pPr>
            <w:r w:rsidRPr="00100B33">
              <w:rPr>
                <w:rFonts w:ascii="Times New Roman" w:hAnsi="Times New Roman" w:cs="Times New Roman"/>
                <w:i/>
                <w:iCs/>
                <w:sz w:val="20"/>
                <w:szCs w:val="20"/>
              </w:rPr>
              <w:t>-</w:t>
            </w:r>
            <w:r>
              <w:rPr>
                <w:rFonts w:ascii="Times New Roman" w:hAnsi="Times New Roman" w:cs="Times New Roman"/>
                <w:i/>
                <w:iCs/>
                <w:sz w:val="20"/>
                <w:szCs w:val="20"/>
              </w:rPr>
              <w:t>0</w:t>
            </w:r>
            <w:r w:rsidRPr="00100B33">
              <w:rPr>
                <w:rFonts w:ascii="Times New Roman" w:hAnsi="Times New Roman" w:cs="Times New Roman"/>
                <w:i/>
                <w:iCs/>
                <w:sz w:val="20"/>
                <w:szCs w:val="20"/>
              </w:rPr>
              <w:t>.1784</w:t>
            </w:r>
          </w:p>
          <w:p w14:paraId="5D42F9DB" w14:textId="382A53DD"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[0.000]</w:t>
            </w:r>
          </w:p>
        </w:tc>
        <w:tc>
          <w:tcPr>
            <w:tcW w:w="964" w:type="dxa"/>
            <w:vAlign w:val="center"/>
          </w:tcPr>
          <w:p w14:paraId="05DCCD67" w14:textId="063713F4"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0.2560</w:t>
            </w:r>
          </w:p>
          <w:p w14:paraId="6D781EE6" w14:textId="02C0A171"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32FE284B" w14:textId="4265EBCA"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0.1402</w:t>
            </w:r>
          </w:p>
          <w:p w14:paraId="34463D50" w14:textId="5B5CA096"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7A49C5D6"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-0.0200</w:t>
            </w:r>
          </w:p>
          <w:p w14:paraId="52F52C10" w14:textId="7B37A929"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21618501"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-0.0154</w:t>
            </w:r>
          </w:p>
          <w:p w14:paraId="22A8488B" w14:textId="35383BA0"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[0.001]</w:t>
            </w:r>
          </w:p>
        </w:tc>
      </w:tr>
      <w:tr w:rsidR="001029EC" w:rsidRPr="00065AB1" w14:paraId="1A9BF7F4" w14:textId="2CF3B119" w:rsidTr="004E2734">
        <w:trPr>
          <w:jc w:val="center"/>
        </w:trPr>
        <w:tc>
          <w:tcPr>
            <w:tcW w:w="1134" w:type="dxa"/>
            <w:vAlign w:val="center"/>
          </w:tcPr>
          <w:p w14:paraId="0CF70948" w14:textId="3B943550" w:rsidR="001029EC" w:rsidRPr="00CD33C9" w:rsidRDefault="0005145B" w:rsidP="001029EC">
            <w:pPr>
              <w:spacing w:before="60" w:after="120"/>
              <w:jc w:val="center"/>
              <w:rPr>
                <w:rFonts w:ascii="Times New Roman" w:hAnsi="Times New Roman" w:cs="Times New Roman"/>
                <w:i/>
                <w:iCs/>
                <w:sz w:val="20"/>
                <w:szCs w:val="20"/>
              </w:rPr>
            </w:pPr>
            <w:proofErr w:type="spellStart"/>
            <w:r>
              <w:rPr>
                <w:rFonts w:ascii="Times New Roman" w:hAnsi="Times New Roman" w:cs="Times New Roman"/>
                <w:i/>
                <w:iCs/>
                <w:sz w:val="20"/>
                <w:szCs w:val="20"/>
              </w:rPr>
              <w:t>ib</w:t>
            </w:r>
            <w:proofErr w:type="spellEnd"/>
          </w:p>
        </w:tc>
        <w:tc>
          <w:tcPr>
            <w:tcW w:w="964" w:type="dxa"/>
            <w:vAlign w:val="center"/>
          </w:tcPr>
          <w:p w14:paraId="7C2BCC5F" w14:textId="4AE0165B"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0381BDDC" w14:textId="11C68F6E"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235D5320" w14:textId="097937CB"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0A5E2F81" w14:textId="77777777" w:rsidR="001029EC"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w:t>
            </w:r>
            <w:r w:rsidRPr="00100B33">
              <w:rPr>
                <w:rFonts w:ascii="Times New Roman" w:hAnsi="Times New Roman" w:cs="Times New Roman"/>
                <w:i/>
                <w:iCs/>
                <w:sz w:val="20"/>
                <w:szCs w:val="20"/>
              </w:rPr>
              <w:t>.0181</w:t>
            </w:r>
          </w:p>
          <w:p w14:paraId="24D816D2" w14:textId="5A5129A6"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[0.057]</w:t>
            </w:r>
          </w:p>
        </w:tc>
        <w:tc>
          <w:tcPr>
            <w:tcW w:w="964" w:type="dxa"/>
            <w:vAlign w:val="center"/>
          </w:tcPr>
          <w:p w14:paraId="0B897516"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0.0596</w:t>
            </w:r>
          </w:p>
          <w:p w14:paraId="6B8CF2B2" w14:textId="335D7142"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[0.030]</w:t>
            </w:r>
          </w:p>
        </w:tc>
        <w:tc>
          <w:tcPr>
            <w:tcW w:w="964" w:type="dxa"/>
            <w:vAlign w:val="center"/>
          </w:tcPr>
          <w:p w14:paraId="22CEC785"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0.0515</w:t>
            </w:r>
          </w:p>
          <w:p w14:paraId="692063A7" w14:textId="71C90B49"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[0.008]</w:t>
            </w:r>
          </w:p>
        </w:tc>
        <w:tc>
          <w:tcPr>
            <w:tcW w:w="964" w:type="dxa"/>
            <w:vAlign w:val="center"/>
          </w:tcPr>
          <w:p w14:paraId="49542ECF"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0.0022</w:t>
            </w:r>
          </w:p>
          <w:p w14:paraId="1BDDD331" w14:textId="3D949231"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[0.225]</w:t>
            </w:r>
          </w:p>
        </w:tc>
        <w:tc>
          <w:tcPr>
            <w:tcW w:w="964" w:type="dxa"/>
            <w:vAlign w:val="center"/>
          </w:tcPr>
          <w:p w14:paraId="27FBC0BD" w14:textId="07B93739"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r>
      <w:tr w:rsidR="001029EC" w:rsidRPr="00065AB1" w14:paraId="71401789" w14:textId="77777777" w:rsidTr="004E2734">
        <w:trPr>
          <w:jc w:val="center"/>
        </w:trPr>
        <w:tc>
          <w:tcPr>
            <w:tcW w:w="1134" w:type="dxa"/>
            <w:vAlign w:val="center"/>
          </w:tcPr>
          <w:p w14:paraId="7B9544A0" w14:textId="626ED3F5" w:rsidR="001029EC" w:rsidRDefault="0005145B" w:rsidP="001029EC">
            <w:pPr>
              <w:spacing w:before="60" w:after="120"/>
              <w:jc w:val="center"/>
              <w:rPr>
                <w:rFonts w:ascii="Times New Roman" w:eastAsia="Calibri" w:hAnsi="Times New Roman" w:cs="Times New Roman"/>
                <w:i/>
                <w:sz w:val="20"/>
                <w:szCs w:val="20"/>
              </w:rPr>
            </w:pPr>
            <w:r>
              <w:rPr>
                <w:rFonts w:ascii="Times New Roman" w:eastAsia="Calibri" w:hAnsi="Times New Roman" w:cs="Times New Roman"/>
                <w:i/>
                <w:sz w:val="20"/>
                <w:szCs w:val="20"/>
              </w:rPr>
              <w:t>m</w:t>
            </w:r>
          </w:p>
        </w:tc>
        <w:tc>
          <w:tcPr>
            <w:tcW w:w="964" w:type="dxa"/>
            <w:vAlign w:val="center"/>
          </w:tcPr>
          <w:p w14:paraId="28769826" w14:textId="76B7B193"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68B7C48A" w14:textId="0024404E"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6CFBE10F" w14:textId="09C39308"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15F5F11E" w14:textId="2EEC5135"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48C2E4C8"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-0.1746</w:t>
            </w:r>
          </w:p>
          <w:p w14:paraId="172FB855" w14:textId="77CFB0D5" w:rsidR="001029EC"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75BFD5F5"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-0.0248</w:t>
            </w:r>
          </w:p>
          <w:p w14:paraId="1CBF63B5" w14:textId="5B801E80" w:rsidR="001029EC"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[0.528]</w:t>
            </w:r>
          </w:p>
        </w:tc>
        <w:tc>
          <w:tcPr>
            <w:tcW w:w="964" w:type="dxa"/>
            <w:vAlign w:val="center"/>
          </w:tcPr>
          <w:p w14:paraId="7560CD86" w14:textId="67883BE1" w:rsidR="001029EC"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1DB9856B" w14:textId="706E0D16" w:rsidR="001029EC"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w:t>
            </w:r>
          </w:p>
        </w:tc>
      </w:tr>
      <w:tr w:rsidR="001029EC" w14:paraId="7B47FAA9" w14:textId="001DE682" w:rsidTr="004E2734">
        <w:trPr>
          <w:jc w:val="center"/>
        </w:trPr>
        <w:tc>
          <w:tcPr>
            <w:tcW w:w="1134" w:type="dxa"/>
            <w:vAlign w:val="center"/>
          </w:tcPr>
          <w:p w14:paraId="6C840FE6" w14:textId="4F1E01EC" w:rsidR="001029EC" w:rsidRPr="00CD33C9" w:rsidRDefault="0005145B" w:rsidP="001029EC">
            <w:pPr>
              <w:spacing w:before="60" w:after="120"/>
              <w:jc w:val="center"/>
              <w:rPr>
                <w:rFonts w:ascii="Times New Roman" w:hAnsi="Times New Roman" w:cs="Times New Roman"/>
                <w:i/>
                <w:iCs/>
                <w:sz w:val="20"/>
                <w:szCs w:val="20"/>
              </w:rPr>
            </w:pPr>
            <w:r>
              <w:rPr>
                <w:rFonts w:ascii="Times New Roman" w:hAnsi="Times New Roman" w:cs="Times New Roman"/>
                <w:i/>
                <w:iCs/>
                <w:sz w:val="20"/>
                <w:szCs w:val="20"/>
              </w:rPr>
              <w:t>e</w:t>
            </w:r>
          </w:p>
        </w:tc>
        <w:tc>
          <w:tcPr>
            <w:tcW w:w="964" w:type="dxa"/>
            <w:vAlign w:val="center"/>
          </w:tcPr>
          <w:p w14:paraId="3AF4220E"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0.9945</w:t>
            </w:r>
          </w:p>
          <w:p w14:paraId="2162D69A" w14:textId="42CB4C70"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[0.035]</w:t>
            </w:r>
          </w:p>
        </w:tc>
        <w:tc>
          <w:tcPr>
            <w:tcW w:w="964" w:type="dxa"/>
            <w:vAlign w:val="center"/>
          </w:tcPr>
          <w:p w14:paraId="0C4042A7"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1.1004</w:t>
            </w:r>
          </w:p>
          <w:p w14:paraId="67CFA916" w14:textId="1849AB9B"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[0.011]</w:t>
            </w:r>
          </w:p>
        </w:tc>
        <w:tc>
          <w:tcPr>
            <w:tcW w:w="964" w:type="dxa"/>
            <w:vAlign w:val="center"/>
          </w:tcPr>
          <w:p w14:paraId="24969459" w14:textId="5D490FDB"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3FC5EEA0" w14:textId="56F22763"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35FF2383" w14:textId="5D1EF023"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06EF4E2D"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-0.1709</w:t>
            </w:r>
          </w:p>
          <w:p w14:paraId="27301951" w14:textId="2596D78F"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[0.001]</w:t>
            </w:r>
          </w:p>
        </w:tc>
        <w:tc>
          <w:tcPr>
            <w:tcW w:w="964" w:type="dxa"/>
            <w:vAlign w:val="center"/>
          </w:tcPr>
          <w:p w14:paraId="1620C685" w14:textId="48F909D7"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14FB58E5"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0.0087</w:t>
            </w:r>
          </w:p>
          <w:p w14:paraId="026CA620" w14:textId="098E103A"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[0.071]</w:t>
            </w:r>
          </w:p>
        </w:tc>
      </w:tr>
      <w:tr w:rsidR="001029EC" w14:paraId="08A2081C" w14:textId="1D2DD840" w:rsidTr="004E2734">
        <w:trPr>
          <w:jc w:val="center"/>
        </w:trPr>
        <w:tc>
          <w:tcPr>
            <w:tcW w:w="1134" w:type="dxa"/>
            <w:vAlign w:val="center"/>
          </w:tcPr>
          <w:p w14:paraId="30457500" w14:textId="274506C7" w:rsidR="001029EC" w:rsidRDefault="0005145B" w:rsidP="001029EC">
            <w:pPr>
              <w:spacing w:before="60" w:after="120"/>
              <w:jc w:val="center"/>
              <w:rPr>
                <w:rFonts w:ascii="Times New Roman" w:eastAsia="Calibri" w:hAnsi="Times New Roman" w:cs="Times New Roman"/>
                <w:i/>
                <w:sz w:val="20"/>
                <w:szCs w:val="20"/>
              </w:rPr>
            </w:pPr>
            <w:r>
              <w:rPr>
                <w:rFonts w:ascii="Times New Roman" w:eastAsia="Calibri" w:hAnsi="Times New Roman" w:cs="Times New Roman"/>
                <w:i/>
                <w:sz w:val="20"/>
                <w:szCs w:val="20"/>
              </w:rPr>
              <w:lastRenderedPageBreak/>
              <w:t>i</w:t>
            </w:r>
          </w:p>
        </w:tc>
        <w:tc>
          <w:tcPr>
            <w:tcW w:w="964" w:type="dxa"/>
            <w:vAlign w:val="center"/>
          </w:tcPr>
          <w:p w14:paraId="22DDF136"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13.7414</w:t>
            </w:r>
          </w:p>
          <w:p w14:paraId="73A6537E" w14:textId="377B5BD7"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[0.001]</w:t>
            </w:r>
          </w:p>
        </w:tc>
        <w:tc>
          <w:tcPr>
            <w:tcW w:w="964" w:type="dxa"/>
            <w:vAlign w:val="center"/>
          </w:tcPr>
          <w:p w14:paraId="127F1BED"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10.9601</w:t>
            </w:r>
          </w:p>
          <w:p w14:paraId="4EDE0873" w14:textId="315F1E41"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[0.044]</w:t>
            </w:r>
          </w:p>
        </w:tc>
        <w:tc>
          <w:tcPr>
            <w:tcW w:w="964" w:type="dxa"/>
            <w:vAlign w:val="center"/>
          </w:tcPr>
          <w:p w14:paraId="29185E35" w14:textId="77777777" w:rsidR="001029EC" w:rsidRDefault="001029EC" w:rsidP="001029EC">
            <w:pPr>
              <w:jc w:val="center"/>
              <w:rPr>
                <w:rFonts w:ascii="Times New Roman" w:hAnsi="Times New Roman" w:cs="Times New Roman"/>
                <w:i/>
                <w:iCs/>
                <w:sz w:val="20"/>
                <w:szCs w:val="20"/>
              </w:rPr>
            </w:pPr>
            <w:r w:rsidRPr="008717BD">
              <w:rPr>
                <w:rFonts w:ascii="Times New Roman" w:hAnsi="Times New Roman" w:cs="Times New Roman"/>
                <w:i/>
                <w:iCs/>
                <w:sz w:val="20"/>
                <w:szCs w:val="20"/>
              </w:rPr>
              <w:t>-</w:t>
            </w:r>
            <w:r>
              <w:rPr>
                <w:rFonts w:ascii="Times New Roman" w:hAnsi="Times New Roman" w:cs="Times New Roman"/>
                <w:i/>
                <w:iCs/>
                <w:sz w:val="20"/>
                <w:szCs w:val="20"/>
              </w:rPr>
              <w:t>0</w:t>
            </w:r>
            <w:r w:rsidRPr="008717BD">
              <w:rPr>
                <w:rFonts w:ascii="Times New Roman" w:hAnsi="Times New Roman" w:cs="Times New Roman"/>
                <w:i/>
                <w:iCs/>
                <w:sz w:val="20"/>
                <w:szCs w:val="20"/>
              </w:rPr>
              <w:t>.</w:t>
            </w:r>
            <w:r w:rsidRPr="006A35B3">
              <w:rPr>
                <w:rFonts w:ascii="Times New Roman" w:hAnsi="Times New Roman" w:cs="Times New Roman"/>
                <w:i/>
                <w:iCs/>
                <w:sz w:val="20"/>
                <w:szCs w:val="20"/>
              </w:rPr>
              <w:t>1513</w:t>
            </w:r>
          </w:p>
          <w:p w14:paraId="36F71166" w14:textId="26E2F2BE"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[0.491]</w:t>
            </w:r>
          </w:p>
        </w:tc>
        <w:tc>
          <w:tcPr>
            <w:tcW w:w="964" w:type="dxa"/>
            <w:vAlign w:val="center"/>
          </w:tcPr>
          <w:p w14:paraId="6B87348B" w14:textId="77777777" w:rsidR="001029EC" w:rsidRDefault="001029EC" w:rsidP="001029EC">
            <w:pPr>
              <w:jc w:val="center"/>
              <w:rPr>
                <w:rFonts w:ascii="Times New Roman" w:hAnsi="Times New Roman" w:cs="Times New Roman"/>
                <w:i/>
                <w:iCs/>
                <w:sz w:val="20"/>
                <w:szCs w:val="20"/>
              </w:rPr>
            </w:pPr>
            <w:r w:rsidRPr="00100B33">
              <w:rPr>
                <w:rFonts w:ascii="Times New Roman" w:hAnsi="Times New Roman" w:cs="Times New Roman"/>
                <w:i/>
                <w:iCs/>
                <w:sz w:val="20"/>
                <w:szCs w:val="20"/>
              </w:rPr>
              <w:t>-</w:t>
            </w:r>
            <w:r>
              <w:rPr>
                <w:rFonts w:ascii="Times New Roman" w:hAnsi="Times New Roman" w:cs="Times New Roman"/>
                <w:i/>
                <w:iCs/>
                <w:sz w:val="20"/>
                <w:szCs w:val="20"/>
              </w:rPr>
              <w:t>0</w:t>
            </w:r>
            <w:r w:rsidRPr="00100B33">
              <w:rPr>
                <w:rFonts w:ascii="Times New Roman" w:hAnsi="Times New Roman" w:cs="Times New Roman"/>
                <w:i/>
                <w:iCs/>
                <w:sz w:val="20"/>
                <w:szCs w:val="20"/>
              </w:rPr>
              <w:t>.1798</w:t>
            </w:r>
          </w:p>
          <w:p w14:paraId="3F6345EE" w14:textId="3CF7AA50"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[0.358]</w:t>
            </w:r>
          </w:p>
        </w:tc>
        <w:tc>
          <w:tcPr>
            <w:tcW w:w="964" w:type="dxa"/>
            <w:vAlign w:val="center"/>
          </w:tcPr>
          <w:p w14:paraId="26D8602B"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-0.4787</w:t>
            </w:r>
          </w:p>
          <w:p w14:paraId="5E7E8710" w14:textId="55EE1594"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[0.140]</w:t>
            </w:r>
          </w:p>
        </w:tc>
        <w:tc>
          <w:tcPr>
            <w:tcW w:w="964" w:type="dxa"/>
            <w:vAlign w:val="center"/>
          </w:tcPr>
          <w:p w14:paraId="29BEC54E"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-0.4643</w:t>
            </w:r>
          </w:p>
          <w:p w14:paraId="37105538" w14:textId="16A40274"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[0.044]</w:t>
            </w:r>
          </w:p>
        </w:tc>
        <w:tc>
          <w:tcPr>
            <w:tcW w:w="964" w:type="dxa"/>
            <w:vAlign w:val="center"/>
          </w:tcPr>
          <w:p w14:paraId="02CDC4E3" w14:textId="2A113C0A"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2B06E683" w14:textId="72392399"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r>
      <w:tr w:rsidR="001029EC" w14:paraId="539E40CA" w14:textId="42C5E79A" w:rsidTr="004E2734">
        <w:trPr>
          <w:jc w:val="center"/>
        </w:trPr>
        <w:tc>
          <w:tcPr>
            <w:tcW w:w="1134" w:type="dxa"/>
            <w:vAlign w:val="center"/>
          </w:tcPr>
          <w:p w14:paraId="1368151E" w14:textId="0E3C7B44" w:rsidR="001029EC" w:rsidRPr="00CD33C9" w:rsidRDefault="0005145B" w:rsidP="001029EC">
            <w:pPr>
              <w:spacing w:before="60" w:after="120"/>
              <w:jc w:val="center"/>
              <w:rPr>
                <w:rFonts w:ascii="Times New Roman" w:hAnsi="Times New Roman" w:cs="Times New Roman"/>
                <w:i/>
                <w:iCs/>
                <w:sz w:val="20"/>
                <w:szCs w:val="20"/>
              </w:rPr>
            </w:pPr>
            <w:r>
              <w:rPr>
                <w:rFonts w:ascii="Times New Roman" w:hAnsi="Times New Roman" w:cs="Times New Roman"/>
                <w:i/>
                <w:iCs/>
                <w:sz w:val="20"/>
                <w:szCs w:val="20"/>
              </w:rPr>
              <w:t>k</w:t>
            </w:r>
          </w:p>
        </w:tc>
        <w:tc>
          <w:tcPr>
            <w:tcW w:w="964" w:type="dxa"/>
            <w:vAlign w:val="center"/>
          </w:tcPr>
          <w:p w14:paraId="1AFECCC8" w14:textId="044D959C"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3C02E6EE" w14:textId="2F712D48"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23E2F20F" w14:textId="77777777" w:rsidR="001029EC"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w:t>
            </w:r>
            <w:r w:rsidRPr="008717BD">
              <w:rPr>
                <w:rFonts w:ascii="Times New Roman" w:hAnsi="Times New Roman" w:cs="Times New Roman"/>
                <w:i/>
                <w:iCs/>
                <w:sz w:val="20"/>
                <w:szCs w:val="20"/>
              </w:rPr>
              <w:t>.</w:t>
            </w:r>
            <w:r w:rsidRPr="006A35B3">
              <w:rPr>
                <w:rFonts w:ascii="Times New Roman" w:hAnsi="Times New Roman" w:cs="Times New Roman"/>
                <w:i/>
                <w:iCs/>
                <w:sz w:val="20"/>
                <w:szCs w:val="20"/>
              </w:rPr>
              <w:t>6664</w:t>
            </w:r>
          </w:p>
          <w:p w14:paraId="082ECAA3" w14:textId="546CE730"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[0.000]</w:t>
            </w:r>
          </w:p>
        </w:tc>
        <w:tc>
          <w:tcPr>
            <w:tcW w:w="964" w:type="dxa"/>
            <w:vAlign w:val="center"/>
          </w:tcPr>
          <w:p w14:paraId="70EE100D" w14:textId="77777777" w:rsidR="001029EC"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w:t>
            </w:r>
            <w:r w:rsidRPr="00100B33">
              <w:rPr>
                <w:rFonts w:ascii="Times New Roman" w:hAnsi="Times New Roman" w:cs="Times New Roman"/>
                <w:i/>
                <w:iCs/>
                <w:sz w:val="20"/>
                <w:szCs w:val="20"/>
              </w:rPr>
              <w:t>.6542</w:t>
            </w:r>
          </w:p>
          <w:p w14:paraId="2699251D" w14:textId="77EAA6F9"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[0.000]</w:t>
            </w:r>
          </w:p>
        </w:tc>
        <w:tc>
          <w:tcPr>
            <w:tcW w:w="964" w:type="dxa"/>
            <w:vAlign w:val="center"/>
          </w:tcPr>
          <w:p w14:paraId="5C319F07" w14:textId="2CFEC9B3"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2717B598" w14:textId="458C9C49"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3D52D407" w14:textId="151787DD"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c>
          <w:tcPr>
            <w:tcW w:w="964" w:type="dxa"/>
            <w:vAlign w:val="center"/>
          </w:tcPr>
          <w:p w14:paraId="2D9CE0DE" w14:textId="42C3F6B0"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w:t>
            </w:r>
          </w:p>
        </w:tc>
      </w:tr>
      <w:tr w:rsidR="001029EC" w14:paraId="07EDD13D" w14:textId="77777777" w:rsidTr="00960C84">
        <w:trPr>
          <w:jc w:val="center"/>
        </w:trPr>
        <w:tc>
          <w:tcPr>
            <w:tcW w:w="1134" w:type="dxa"/>
            <w:vAlign w:val="center"/>
          </w:tcPr>
          <w:p w14:paraId="2D5D50C5" w14:textId="34BFAF05" w:rsidR="001029EC" w:rsidRDefault="0005145B" w:rsidP="001029EC">
            <w:pPr>
              <w:spacing w:before="60" w:after="120"/>
              <w:jc w:val="center"/>
              <w:rPr>
                <w:rFonts w:ascii="Times New Roman" w:eastAsia="Calibri" w:hAnsi="Times New Roman" w:cs="Times New Roman"/>
                <w:i/>
                <w:iCs/>
                <w:sz w:val="20"/>
                <w:szCs w:val="20"/>
              </w:rPr>
            </w:pPr>
            <w:proofErr w:type="spellStart"/>
            <w:r>
              <w:rPr>
                <w:rFonts w:ascii="Times New Roman" w:eastAsia="Calibri" w:hAnsi="Times New Roman" w:cs="Times New Roman"/>
                <w:i/>
                <w:iCs/>
                <w:sz w:val="20"/>
                <w:szCs w:val="20"/>
              </w:rPr>
              <w:t>pl</w:t>
            </w:r>
            <w:proofErr w:type="spellEnd"/>
          </w:p>
        </w:tc>
        <w:tc>
          <w:tcPr>
            <w:tcW w:w="964" w:type="dxa"/>
            <w:vAlign w:val="center"/>
          </w:tcPr>
          <w:p w14:paraId="6FF0546E" w14:textId="0014A02A"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71E3E902" w14:textId="3251088E"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69C20A40" w14:textId="77777777" w:rsidR="001029EC"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w:t>
            </w:r>
            <w:r w:rsidRPr="006A35B3">
              <w:rPr>
                <w:rFonts w:ascii="Times New Roman" w:hAnsi="Times New Roman" w:cs="Times New Roman"/>
                <w:i/>
                <w:iCs/>
                <w:sz w:val="20"/>
                <w:szCs w:val="20"/>
              </w:rPr>
              <w:t>6119</w:t>
            </w:r>
          </w:p>
          <w:p w14:paraId="4F6EE50A" w14:textId="5410187C"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[0.014]</w:t>
            </w:r>
          </w:p>
        </w:tc>
        <w:tc>
          <w:tcPr>
            <w:tcW w:w="964" w:type="dxa"/>
            <w:vAlign w:val="center"/>
          </w:tcPr>
          <w:p w14:paraId="088821B8" w14:textId="77777777" w:rsidR="001029EC"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w:t>
            </w:r>
            <w:r w:rsidRPr="00100B33">
              <w:rPr>
                <w:rFonts w:ascii="Times New Roman" w:hAnsi="Times New Roman" w:cs="Times New Roman"/>
                <w:i/>
                <w:iCs/>
                <w:sz w:val="20"/>
                <w:szCs w:val="20"/>
              </w:rPr>
              <w:t>.5834</w:t>
            </w:r>
          </w:p>
          <w:p w14:paraId="6C559F73" w14:textId="69824D0F"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[0.033]</w:t>
            </w:r>
          </w:p>
        </w:tc>
        <w:tc>
          <w:tcPr>
            <w:tcW w:w="964" w:type="dxa"/>
            <w:vAlign w:val="center"/>
          </w:tcPr>
          <w:p w14:paraId="2BD2F16B" w14:textId="3E548891"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56846C6A" w14:textId="4C07F9AB" w:rsidR="001029EC" w:rsidRPr="004E2734" w:rsidRDefault="001029EC" w:rsidP="001029EC">
            <w:pPr>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313FF07B" w14:textId="72DB89C3"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c>
          <w:tcPr>
            <w:tcW w:w="964" w:type="dxa"/>
            <w:vAlign w:val="center"/>
          </w:tcPr>
          <w:p w14:paraId="7CF96D94" w14:textId="6B40F725"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w:t>
            </w:r>
          </w:p>
        </w:tc>
      </w:tr>
      <w:tr w:rsidR="001029EC" w:rsidRPr="00065AB1" w14:paraId="35792D50" w14:textId="766B73B2" w:rsidTr="00960C84">
        <w:trPr>
          <w:jc w:val="center"/>
        </w:trPr>
        <w:tc>
          <w:tcPr>
            <w:tcW w:w="1134" w:type="dxa"/>
            <w:vAlign w:val="center"/>
          </w:tcPr>
          <w:p w14:paraId="7928648A" w14:textId="5E6C0098" w:rsidR="001029EC" w:rsidRPr="0005145B" w:rsidRDefault="0005145B" w:rsidP="001029EC">
            <w:pPr>
              <w:spacing w:before="60" w:after="120"/>
              <w:jc w:val="center"/>
              <w:rPr>
                <w:rFonts w:ascii="Times New Roman" w:hAnsi="Times New Roman" w:cs="Times New Roman"/>
                <w:i/>
                <w:iCs/>
                <w:sz w:val="18"/>
                <w:szCs w:val="18"/>
              </w:rPr>
            </w:pPr>
            <w:r w:rsidRPr="0005145B">
              <w:rPr>
                <w:rFonts w:ascii="Times New Roman" w:hAnsi="Times New Roman" w:cs="Times New Roman"/>
                <w:i/>
                <w:iCs/>
                <w:sz w:val="18"/>
                <w:szCs w:val="18"/>
              </w:rPr>
              <w:t>Coeficiente de ajuste</w:t>
            </w:r>
          </w:p>
        </w:tc>
        <w:tc>
          <w:tcPr>
            <w:tcW w:w="964" w:type="dxa"/>
            <w:vAlign w:val="center"/>
          </w:tcPr>
          <w:p w14:paraId="46D321A6"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-0.1673</w:t>
            </w:r>
          </w:p>
          <w:p w14:paraId="02E2C3F2" w14:textId="2CBEB80B"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2BA75690"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-0.1830</w:t>
            </w:r>
          </w:p>
          <w:p w14:paraId="691C2053" w14:textId="4DB0A09D"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[0.004]</w:t>
            </w:r>
          </w:p>
        </w:tc>
        <w:tc>
          <w:tcPr>
            <w:tcW w:w="964" w:type="dxa"/>
            <w:vAlign w:val="center"/>
          </w:tcPr>
          <w:p w14:paraId="0C0E79C2" w14:textId="77777777" w:rsidR="001029EC" w:rsidRDefault="001029EC" w:rsidP="001029EC">
            <w:pPr>
              <w:jc w:val="center"/>
              <w:rPr>
                <w:rFonts w:ascii="Times New Roman" w:hAnsi="Times New Roman" w:cs="Times New Roman"/>
                <w:i/>
                <w:iCs/>
                <w:sz w:val="20"/>
                <w:szCs w:val="20"/>
              </w:rPr>
            </w:pPr>
            <w:r w:rsidRPr="008717BD">
              <w:rPr>
                <w:rFonts w:ascii="Times New Roman" w:hAnsi="Times New Roman" w:cs="Times New Roman"/>
                <w:i/>
                <w:iCs/>
                <w:sz w:val="20"/>
                <w:szCs w:val="20"/>
              </w:rPr>
              <w:t>-</w:t>
            </w:r>
            <w:r>
              <w:rPr>
                <w:rFonts w:ascii="Times New Roman" w:hAnsi="Times New Roman" w:cs="Times New Roman"/>
                <w:i/>
                <w:iCs/>
                <w:sz w:val="20"/>
                <w:szCs w:val="20"/>
              </w:rPr>
              <w:t>0</w:t>
            </w:r>
            <w:r w:rsidRPr="008717BD">
              <w:rPr>
                <w:rFonts w:ascii="Times New Roman" w:hAnsi="Times New Roman" w:cs="Times New Roman"/>
                <w:i/>
                <w:iCs/>
                <w:sz w:val="20"/>
                <w:szCs w:val="20"/>
              </w:rPr>
              <w:t>.</w:t>
            </w:r>
            <w:r w:rsidRPr="00100B33">
              <w:rPr>
                <w:rFonts w:ascii="Times New Roman" w:hAnsi="Times New Roman" w:cs="Times New Roman"/>
                <w:i/>
                <w:iCs/>
                <w:sz w:val="20"/>
                <w:szCs w:val="20"/>
              </w:rPr>
              <w:t>3734</w:t>
            </w:r>
          </w:p>
          <w:p w14:paraId="5F943F71" w14:textId="2261CF56"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[0.001]</w:t>
            </w:r>
          </w:p>
        </w:tc>
        <w:tc>
          <w:tcPr>
            <w:tcW w:w="964" w:type="dxa"/>
            <w:vAlign w:val="center"/>
          </w:tcPr>
          <w:p w14:paraId="1D5BD123" w14:textId="77777777" w:rsidR="001029EC" w:rsidRDefault="001029EC" w:rsidP="001029EC">
            <w:pPr>
              <w:jc w:val="center"/>
              <w:rPr>
                <w:rFonts w:ascii="Times New Roman" w:hAnsi="Times New Roman" w:cs="Times New Roman"/>
                <w:i/>
                <w:iCs/>
                <w:sz w:val="20"/>
                <w:szCs w:val="20"/>
              </w:rPr>
            </w:pPr>
            <w:r w:rsidRPr="00100B33">
              <w:rPr>
                <w:rFonts w:ascii="Times New Roman" w:hAnsi="Times New Roman" w:cs="Times New Roman"/>
                <w:i/>
                <w:iCs/>
                <w:sz w:val="20"/>
                <w:szCs w:val="20"/>
              </w:rPr>
              <w:t>-</w:t>
            </w:r>
            <w:r>
              <w:rPr>
                <w:rFonts w:ascii="Times New Roman" w:hAnsi="Times New Roman" w:cs="Times New Roman"/>
                <w:i/>
                <w:iCs/>
                <w:sz w:val="20"/>
                <w:szCs w:val="20"/>
              </w:rPr>
              <w:t>0</w:t>
            </w:r>
            <w:r w:rsidRPr="00100B33">
              <w:rPr>
                <w:rFonts w:ascii="Times New Roman" w:hAnsi="Times New Roman" w:cs="Times New Roman"/>
                <w:i/>
                <w:iCs/>
                <w:sz w:val="20"/>
                <w:szCs w:val="20"/>
              </w:rPr>
              <w:t>.5026</w:t>
            </w:r>
          </w:p>
          <w:p w14:paraId="63F46952" w14:textId="6672FCB6" w:rsidR="001029EC" w:rsidRPr="004E2734" w:rsidRDefault="001029EC" w:rsidP="001029EC">
            <w:pPr>
              <w:spacing w:after="120"/>
              <w:jc w:val="center"/>
              <w:rPr>
                <w:rFonts w:ascii="Times New Roman" w:hAnsi="Times New Roman" w:cs="Times New Roman"/>
                <w:i/>
                <w:iCs/>
                <w:sz w:val="20"/>
                <w:szCs w:val="20"/>
              </w:rPr>
            </w:pPr>
            <w:r>
              <w:rPr>
                <w:rFonts w:ascii="Times New Roman" w:hAnsi="Times New Roman" w:cs="Times New Roman"/>
                <w:i/>
                <w:iCs/>
                <w:sz w:val="20"/>
                <w:szCs w:val="20"/>
              </w:rPr>
              <w:t>[0.003]</w:t>
            </w:r>
          </w:p>
        </w:tc>
        <w:tc>
          <w:tcPr>
            <w:tcW w:w="964" w:type="dxa"/>
            <w:vAlign w:val="center"/>
          </w:tcPr>
          <w:p w14:paraId="6901EA8A"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-0.2204</w:t>
            </w:r>
          </w:p>
          <w:p w14:paraId="73AA45B9" w14:textId="098F8CAC"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63146279"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-0.2821</w:t>
            </w:r>
          </w:p>
          <w:p w14:paraId="0515EEDC" w14:textId="20129A72"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365649A4"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-0.2036</w:t>
            </w:r>
          </w:p>
          <w:p w14:paraId="134265B5" w14:textId="2753F484"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c>
          <w:tcPr>
            <w:tcW w:w="964" w:type="dxa"/>
            <w:vAlign w:val="center"/>
          </w:tcPr>
          <w:p w14:paraId="5AD840EC" w14:textId="77777777" w:rsidR="001029EC" w:rsidRPr="004E2734" w:rsidRDefault="001029EC" w:rsidP="001029EC">
            <w:pPr>
              <w:jc w:val="center"/>
              <w:rPr>
                <w:rFonts w:ascii="Times New Roman" w:hAnsi="Times New Roman" w:cs="Times New Roman"/>
                <w:i/>
                <w:iCs/>
                <w:sz w:val="20"/>
                <w:szCs w:val="20"/>
              </w:rPr>
            </w:pPr>
            <w:r w:rsidRPr="004E2734">
              <w:rPr>
                <w:rFonts w:ascii="Times New Roman" w:hAnsi="Times New Roman" w:cs="Times New Roman"/>
                <w:i/>
                <w:iCs/>
                <w:sz w:val="20"/>
                <w:szCs w:val="20"/>
              </w:rPr>
              <w:t>-0.1640</w:t>
            </w:r>
          </w:p>
          <w:p w14:paraId="754495E9" w14:textId="353F76D3" w:rsidR="001029EC" w:rsidRPr="004E2734" w:rsidRDefault="001029EC" w:rsidP="001029EC">
            <w:pPr>
              <w:spacing w:after="120"/>
              <w:jc w:val="center"/>
              <w:rPr>
                <w:rFonts w:ascii="Times New Roman" w:hAnsi="Times New Roman" w:cs="Times New Roman"/>
                <w:i/>
                <w:iCs/>
                <w:sz w:val="20"/>
                <w:szCs w:val="20"/>
              </w:rPr>
            </w:pPr>
            <w:r w:rsidRPr="004E2734">
              <w:rPr>
                <w:rFonts w:ascii="Times New Roman" w:hAnsi="Times New Roman" w:cs="Times New Roman"/>
                <w:i/>
                <w:iCs/>
                <w:sz w:val="20"/>
                <w:szCs w:val="20"/>
              </w:rPr>
              <w:t>[0.000]</w:t>
            </w:r>
          </w:p>
        </w:tc>
      </w:tr>
      <w:tr w:rsidR="001029EC" w:rsidRPr="00065AB1" w14:paraId="65E6E079" w14:textId="77777777" w:rsidTr="00960C84">
        <w:trPr>
          <w:jc w:val="center"/>
        </w:trPr>
        <w:tc>
          <w:tcPr>
            <w:tcW w:w="8846" w:type="dxa"/>
            <w:gridSpan w:val="9"/>
            <w:vAlign w:val="center"/>
          </w:tcPr>
          <w:p w14:paraId="5BE9EEC3" w14:textId="6AF93EA8" w:rsidR="001029EC" w:rsidRPr="00960C84" w:rsidRDefault="001029EC" w:rsidP="00960C84">
            <w:pPr>
              <w:pBdr>
                <w:top w:val="single" w:sz="4" w:space="1" w:color="auto"/>
              </w:pBdr>
              <w:jc w:val="both"/>
              <w:rPr>
                <w:rFonts w:ascii="Times New Roman" w:hAnsi="Times New Roman" w:cs="Times New Roman"/>
                <w:sz w:val="20"/>
                <w:szCs w:val="20"/>
              </w:rPr>
            </w:pPr>
            <w:r w:rsidRPr="00960C84">
              <w:rPr>
                <w:rFonts w:ascii="Times New Roman" w:hAnsi="Times New Roman" w:cs="Times New Roman"/>
                <w:sz w:val="20"/>
                <w:szCs w:val="20"/>
              </w:rPr>
              <w:t>Estimaciones basadas en un modelo Autorregresivo con Rezagos Distribuidos</w:t>
            </w:r>
          </w:p>
          <w:p w14:paraId="29B19FDB" w14:textId="2A239F62" w:rsidR="001029EC" w:rsidRPr="00960C84" w:rsidRDefault="00BE520D" w:rsidP="00847ABE">
            <w:pPr>
              <w:jc w:val="both"/>
              <w:rPr>
                <w:rFonts w:ascii="Times New Roman" w:eastAsiaTheme="minorEastAsia" w:hAnsi="Times New Roman" w:cs="Times New Roman"/>
                <w:iCs/>
                <w:sz w:val="20"/>
                <w:szCs w:val="20"/>
              </w:rPr>
            </w:pPr>
            <w:r w:rsidRPr="00BE520D">
              <w:rPr>
                <w:rFonts w:ascii="Times New Roman" w:eastAsiaTheme="minorEastAsia" w:hAnsi="Times New Roman" w:cs="Times New Roman"/>
                <w:i/>
                <w:iCs/>
                <w:sz w:val="20"/>
                <w:szCs w:val="20"/>
              </w:rPr>
              <w:t>p</w:t>
            </w:r>
            <w:r w:rsidR="001029EC" w:rsidRPr="00960C84">
              <w:rPr>
                <w:rFonts w:ascii="Times New Roman" w:eastAsiaTheme="minorEastAsia" w:hAnsi="Times New Roman" w:cs="Times New Roman"/>
                <w:sz w:val="20"/>
                <w:szCs w:val="20"/>
              </w:rPr>
              <w:t xml:space="preserve">: </w:t>
            </w:r>
            <w:r w:rsidR="00E53A29">
              <w:rPr>
                <w:rFonts w:ascii="Times New Roman" w:eastAsiaTheme="minorEastAsia" w:hAnsi="Times New Roman" w:cs="Times New Roman"/>
                <w:sz w:val="20"/>
                <w:szCs w:val="20"/>
              </w:rPr>
              <w:t>índice precios al consumidor</w:t>
            </w:r>
            <w:r w:rsidR="001029EC" w:rsidRPr="00960C84">
              <w:rPr>
                <w:rFonts w:ascii="Times New Roman" w:eastAsiaTheme="minorEastAsia" w:hAnsi="Times New Roman" w:cs="Times New Roman"/>
                <w:sz w:val="20"/>
                <w:szCs w:val="20"/>
              </w:rPr>
              <w:t>;</w:t>
            </w:r>
            <w:r>
              <w:rPr>
                <w:rFonts w:ascii="Times New Roman" w:eastAsiaTheme="minorEastAsia" w:hAnsi="Times New Roman" w:cs="Times New Roman"/>
                <w:sz w:val="18"/>
                <w:szCs w:val="18"/>
              </w:rPr>
              <w:t xml:space="preserve"> </w:t>
            </w:r>
            <w:r w:rsidRPr="00BE520D">
              <w:rPr>
                <w:rFonts w:ascii="Times New Roman" w:eastAsiaTheme="minorEastAsia" w:hAnsi="Times New Roman" w:cs="Times New Roman"/>
                <w:i/>
                <w:iCs/>
                <w:sz w:val="18"/>
                <w:szCs w:val="18"/>
              </w:rPr>
              <w:t>y</w:t>
            </w:r>
            <w:r w:rsidR="001029EC" w:rsidRPr="00960C84">
              <w:rPr>
                <w:rFonts w:ascii="Times New Roman" w:eastAsiaTheme="minorEastAsia" w:hAnsi="Times New Roman" w:cs="Times New Roman"/>
                <w:sz w:val="20"/>
                <w:szCs w:val="20"/>
              </w:rPr>
              <w:t xml:space="preserve">: producto interno bruto; </w:t>
            </w:r>
            <m:oMath>
              <m:r>
                <w:rPr>
                  <w:rFonts w:ascii="Cambria Math" w:eastAsiaTheme="minorEastAsia" w:hAnsi="Cambria Math" w:cs="Times New Roman"/>
                  <w:sz w:val="20"/>
                  <w:szCs w:val="20"/>
                </w:rPr>
                <m:t>d</m:t>
              </m:r>
              <m:r>
                <w:rPr>
                  <w:rFonts w:ascii="Cambria Math" w:hAnsi="Cambria Math" w:cs="Times New Roman"/>
                  <w:sz w:val="20"/>
                  <w:szCs w:val="20"/>
                </w:rPr>
                <m:t>euda</m:t>
              </m:r>
            </m:oMath>
            <w:r w:rsidR="001029EC" w:rsidRPr="00960C84">
              <w:rPr>
                <w:rFonts w:ascii="Times New Roman" w:eastAsiaTheme="minorEastAsia" w:hAnsi="Times New Roman" w:cs="Times New Roman"/>
                <w:sz w:val="20"/>
                <w:szCs w:val="20"/>
              </w:rPr>
              <w:t>: deuda federal;</w:t>
            </w:r>
            <w:r>
              <w:rPr>
                <w:rFonts w:ascii="Times New Roman" w:eastAsiaTheme="minorEastAsia" w:hAnsi="Times New Roman" w:cs="Times New Roman"/>
                <w:sz w:val="20"/>
                <w:szCs w:val="20"/>
              </w:rPr>
              <w:t xml:space="preserve"> </w:t>
            </w:r>
            <w:proofErr w:type="spellStart"/>
            <w:r w:rsidRPr="00BE520D">
              <w:rPr>
                <w:rFonts w:ascii="Times New Roman" w:eastAsiaTheme="minorEastAsia" w:hAnsi="Times New Roman" w:cs="Times New Roman"/>
                <w:i/>
                <w:iCs/>
                <w:sz w:val="20"/>
                <w:szCs w:val="20"/>
              </w:rPr>
              <w:t>ib</w:t>
            </w:r>
            <w:proofErr w:type="spellEnd"/>
            <w:r w:rsidR="001029EC" w:rsidRPr="00960C84">
              <w:rPr>
                <w:rFonts w:ascii="Times New Roman" w:eastAsiaTheme="minorEastAsia" w:hAnsi="Times New Roman" w:cs="Times New Roman"/>
                <w:sz w:val="20"/>
                <w:szCs w:val="20"/>
              </w:rPr>
              <w:t xml:space="preserve">: índice bursátil NASDAQ; </w:t>
            </w:r>
            <w:r w:rsidRPr="00BE520D">
              <w:rPr>
                <w:rFonts w:ascii="Times New Roman" w:eastAsiaTheme="minorEastAsia" w:hAnsi="Times New Roman" w:cs="Times New Roman"/>
                <w:i/>
                <w:iCs/>
                <w:sz w:val="20"/>
                <w:szCs w:val="20"/>
              </w:rPr>
              <w:t>e</w:t>
            </w:r>
            <w:r w:rsidR="001029EC" w:rsidRPr="00960C84">
              <w:rPr>
                <w:rFonts w:ascii="Times New Roman" w:eastAsiaTheme="minorEastAsia" w:hAnsi="Times New Roman" w:cs="Times New Roman"/>
                <w:sz w:val="20"/>
                <w:szCs w:val="20"/>
              </w:rPr>
              <w:t>: tipo de cambio (canasta);</w:t>
            </w:r>
            <w:r>
              <w:rPr>
                <w:rFonts w:ascii="Times New Roman" w:eastAsiaTheme="minorEastAsia" w:hAnsi="Times New Roman" w:cs="Times New Roman"/>
                <w:sz w:val="20"/>
                <w:szCs w:val="20"/>
              </w:rPr>
              <w:t xml:space="preserve"> </w:t>
            </w:r>
            <w:r w:rsidRPr="00BE520D">
              <w:rPr>
                <w:rFonts w:ascii="Times New Roman" w:eastAsiaTheme="minorEastAsia" w:hAnsi="Times New Roman" w:cs="Times New Roman"/>
                <w:i/>
                <w:iCs/>
                <w:sz w:val="20"/>
                <w:szCs w:val="20"/>
              </w:rPr>
              <w:t>i</w:t>
            </w:r>
            <w:r w:rsidR="001029EC" w:rsidRPr="00960C84">
              <w:rPr>
                <w:rFonts w:ascii="Times New Roman" w:eastAsiaTheme="minorEastAsia" w:hAnsi="Times New Roman" w:cs="Times New Roman"/>
                <w:sz w:val="20"/>
                <w:szCs w:val="20"/>
              </w:rPr>
              <w:t>: tasa de interés;</w:t>
            </w:r>
            <w:r>
              <w:rPr>
                <w:rFonts w:ascii="Times New Roman" w:eastAsiaTheme="minorEastAsia" w:hAnsi="Times New Roman" w:cs="Times New Roman"/>
                <w:sz w:val="20"/>
                <w:szCs w:val="20"/>
              </w:rPr>
              <w:t xml:space="preserve"> </w:t>
            </w:r>
            <w:r w:rsidRPr="00BE520D">
              <w:rPr>
                <w:rFonts w:ascii="Times New Roman" w:eastAsiaTheme="minorEastAsia" w:hAnsi="Times New Roman" w:cs="Times New Roman"/>
                <w:i/>
                <w:iCs/>
                <w:sz w:val="20"/>
                <w:szCs w:val="20"/>
              </w:rPr>
              <w:t>k</w:t>
            </w:r>
            <w:r w:rsidR="001029EC" w:rsidRPr="00960C84">
              <w:rPr>
                <w:rFonts w:ascii="Times New Roman" w:eastAsiaTheme="minorEastAsia" w:hAnsi="Times New Roman" w:cs="Times New Roman"/>
                <w:iCs/>
                <w:sz w:val="20"/>
                <w:szCs w:val="20"/>
              </w:rPr>
              <w:t>; acervo de capital;</w:t>
            </w:r>
            <w:r>
              <w:rPr>
                <w:rFonts w:ascii="Times New Roman" w:eastAsiaTheme="minorEastAsia" w:hAnsi="Times New Roman" w:cs="Times New Roman"/>
                <w:iCs/>
                <w:sz w:val="20"/>
                <w:szCs w:val="20"/>
              </w:rPr>
              <w:t xml:space="preserve"> </w:t>
            </w:r>
            <w:proofErr w:type="spellStart"/>
            <w:r w:rsidRPr="00BE520D">
              <w:rPr>
                <w:rFonts w:ascii="Times New Roman" w:eastAsiaTheme="minorEastAsia" w:hAnsi="Times New Roman" w:cs="Times New Roman"/>
                <w:i/>
                <w:sz w:val="20"/>
                <w:szCs w:val="20"/>
              </w:rPr>
              <w:t>pl</w:t>
            </w:r>
            <w:proofErr w:type="spellEnd"/>
            <w:r w:rsidR="001029EC" w:rsidRPr="00960C84">
              <w:rPr>
                <w:rFonts w:ascii="Times New Roman" w:eastAsiaTheme="minorEastAsia" w:hAnsi="Times New Roman" w:cs="Times New Roman"/>
                <w:iCs/>
                <w:sz w:val="20"/>
                <w:szCs w:val="20"/>
              </w:rPr>
              <w:t>: productividad laboral</w:t>
            </w:r>
            <w:r>
              <w:rPr>
                <w:rFonts w:ascii="Times New Roman" w:eastAsiaTheme="minorEastAsia" w:hAnsi="Times New Roman" w:cs="Times New Roman"/>
                <w:iCs/>
                <w:sz w:val="20"/>
                <w:szCs w:val="20"/>
              </w:rPr>
              <w:t xml:space="preserve">; </w:t>
            </w:r>
            <w:r w:rsidRPr="00BE520D">
              <w:rPr>
                <w:rFonts w:ascii="Times New Roman" w:eastAsiaTheme="minorEastAsia" w:hAnsi="Times New Roman" w:cs="Times New Roman"/>
                <w:i/>
                <w:sz w:val="20"/>
                <w:szCs w:val="20"/>
              </w:rPr>
              <w:t>m</w:t>
            </w:r>
            <w:r>
              <w:rPr>
                <w:rFonts w:ascii="Times New Roman" w:eastAsiaTheme="minorEastAsia" w:hAnsi="Times New Roman" w:cs="Times New Roman"/>
                <w:iCs/>
                <w:sz w:val="20"/>
                <w:szCs w:val="20"/>
              </w:rPr>
              <w:t>: oferta monetaria.</w:t>
            </w:r>
          </w:p>
          <w:p w14:paraId="7CA1CA9D" w14:textId="3CBE0C7A" w:rsidR="0012552E" w:rsidRPr="0012552E" w:rsidRDefault="0012552E" w:rsidP="00847ABE">
            <w:pPr>
              <w:jc w:val="both"/>
              <w:rPr>
                <w:rFonts w:ascii="Times New Roman" w:hAnsi="Times New Roman" w:cs="Times New Roman"/>
                <w:sz w:val="18"/>
                <w:szCs w:val="18"/>
              </w:rPr>
            </w:pPr>
            <w:r w:rsidRPr="00960C84">
              <w:rPr>
                <w:rFonts w:ascii="Times New Roman" w:hAnsi="Times New Roman" w:cs="Times New Roman"/>
                <w:sz w:val="20"/>
                <w:szCs w:val="20"/>
              </w:rPr>
              <w:t>Fuente: Elaboración de los autores con datos del Banco de la Reserva Federal de Estados Unidos</w:t>
            </w:r>
          </w:p>
        </w:tc>
      </w:tr>
    </w:tbl>
    <w:p w14:paraId="797F0EF2" w14:textId="50B213FA" w:rsidR="007245B1" w:rsidRDefault="007245B1" w:rsidP="00427C3A">
      <w:pPr>
        <w:spacing w:after="0" w:line="360" w:lineRule="auto"/>
        <w:jc w:val="both"/>
        <w:rPr>
          <w:rFonts w:ascii="Times New Roman" w:hAnsi="Times New Roman" w:cs="Times New Roman"/>
          <w:sz w:val="24"/>
          <w:szCs w:val="24"/>
        </w:rPr>
      </w:pPr>
    </w:p>
    <w:p w14:paraId="0CE3D2BA" w14:textId="4371403E" w:rsidR="00CA03C3" w:rsidRPr="00A2537C" w:rsidRDefault="001226F5" w:rsidP="004F0F61">
      <w:pPr>
        <w:spacing w:after="0" w:line="360" w:lineRule="auto"/>
        <w:jc w:val="both"/>
        <w:rPr>
          <w:rFonts w:ascii="Times New Roman" w:hAnsi="Times New Roman" w:cs="Times New Roman"/>
          <w:sz w:val="24"/>
          <w:szCs w:val="24"/>
        </w:rPr>
      </w:pPr>
      <w:bookmarkStart w:id="10" w:name="_Hlk70273384"/>
      <w:r w:rsidRPr="00A2537C">
        <w:rPr>
          <w:rFonts w:ascii="Times New Roman" w:hAnsi="Times New Roman" w:cs="Times New Roman"/>
          <w:sz w:val="24"/>
          <w:szCs w:val="24"/>
        </w:rPr>
        <w:t xml:space="preserve">Por otro lado, las estimaciones muestran que la expansión de la de deuda </w:t>
      </w:r>
      <w:r w:rsidR="00EE5ECA" w:rsidRPr="00A2537C">
        <w:rPr>
          <w:rFonts w:ascii="Times New Roman" w:hAnsi="Times New Roman" w:cs="Times New Roman"/>
          <w:sz w:val="24"/>
          <w:szCs w:val="24"/>
        </w:rPr>
        <w:t xml:space="preserve">parece </w:t>
      </w:r>
      <w:r w:rsidR="00E178F1" w:rsidRPr="00A2537C">
        <w:rPr>
          <w:rFonts w:ascii="Times New Roman" w:hAnsi="Times New Roman" w:cs="Times New Roman"/>
          <w:sz w:val="24"/>
          <w:szCs w:val="24"/>
        </w:rPr>
        <w:t xml:space="preserve">erigirse como </w:t>
      </w:r>
      <w:r w:rsidRPr="00A2537C">
        <w:rPr>
          <w:rFonts w:ascii="Times New Roman" w:hAnsi="Times New Roman" w:cs="Times New Roman"/>
          <w:sz w:val="24"/>
          <w:szCs w:val="24"/>
        </w:rPr>
        <w:t xml:space="preserve">un mecanismo de </w:t>
      </w:r>
      <w:r w:rsidR="00444780" w:rsidRPr="00A2537C">
        <w:rPr>
          <w:rFonts w:ascii="Times New Roman" w:hAnsi="Times New Roman" w:cs="Times New Roman"/>
          <w:sz w:val="24"/>
          <w:szCs w:val="24"/>
        </w:rPr>
        <w:t>a</w:t>
      </w:r>
      <w:r w:rsidR="00EE5ECA" w:rsidRPr="00A2537C">
        <w:rPr>
          <w:rFonts w:ascii="Times New Roman" w:hAnsi="Times New Roman" w:cs="Times New Roman"/>
          <w:sz w:val="24"/>
          <w:szCs w:val="24"/>
        </w:rPr>
        <w:t>juste de los</w:t>
      </w:r>
      <w:r w:rsidRPr="00A2537C">
        <w:rPr>
          <w:rFonts w:ascii="Times New Roman" w:hAnsi="Times New Roman" w:cs="Times New Roman"/>
          <w:sz w:val="24"/>
          <w:szCs w:val="24"/>
        </w:rPr>
        <w:t xml:space="preserve"> precios en </w:t>
      </w:r>
      <w:r w:rsidR="00EE5ECA" w:rsidRPr="00A2537C">
        <w:rPr>
          <w:rFonts w:ascii="Times New Roman" w:hAnsi="Times New Roman" w:cs="Times New Roman"/>
          <w:sz w:val="24"/>
          <w:szCs w:val="24"/>
        </w:rPr>
        <w:t>Estados Unidos</w:t>
      </w:r>
      <w:r w:rsidR="00444780" w:rsidRPr="00A2537C">
        <w:rPr>
          <w:rFonts w:ascii="Times New Roman" w:hAnsi="Times New Roman" w:cs="Times New Roman"/>
          <w:sz w:val="24"/>
          <w:szCs w:val="24"/>
        </w:rPr>
        <w:t xml:space="preserve">. </w:t>
      </w:r>
      <w:r w:rsidR="00E178F1" w:rsidRPr="00A2537C">
        <w:rPr>
          <w:rFonts w:ascii="Times New Roman" w:hAnsi="Times New Roman" w:cs="Times New Roman"/>
          <w:sz w:val="24"/>
          <w:szCs w:val="24"/>
        </w:rPr>
        <w:t xml:space="preserve">En efecto, el </w:t>
      </w:r>
      <w:r w:rsidR="00D80D69" w:rsidRPr="00A2537C">
        <w:rPr>
          <w:rFonts w:ascii="Times New Roman" w:hAnsi="Times New Roman" w:cs="Times New Roman"/>
          <w:sz w:val="24"/>
          <w:szCs w:val="24"/>
        </w:rPr>
        <w:t>estallido de la crisis de 2008</w:t>
      </w:r>
      <w:r w:rsidR="00E178F1" w:rsidRPr="00A2537C">
        <w:rPr>
          <w:rFonts w:ascii="Times New Roman" w:hAnsi="Times New Roman" w:cs="Times New Roman"/>
          <w:sz w:val="24"/>
          <w:szCs w:val="24"/>
        </w:rPr>
        <w:t xml:space="preserve"> </w:t>
      </w:r>
      <w:r w:rsidR="00883407" w:rsidRPr="00A2537C">
        <w:rPr>
          <w:rFonts w:ascii="Times New Roman" w:hAnsi="Times New Roman" w:cs="Times New Roman"/>
          <w:sz w:val="24"/>
          <w:szCs w:val="24"/>
        </w:rPr>
        <w:t xml:space="preserve">no sólo </w:t>
      </w:r>
      <w:r w:rsidR="004F0F61" w:rsidRPr="00A2537C">
        <w:rPr>
          <w:rFonts w:ascii="Times New Roman" w:hAnsi="Times New Roman" w:cs="Times New Roman"/>
          <w:sz w:val="24"/>
          <w:szCs w:val="24"/>
        </w:rPr>
        <w:t>represe</w:t>
      </w:r>
      <w:r w:rsidR="004F0F61">
        <w:rPr>
          <w:rFonts w:ascii="Times New Roman" w:hAnsi="Times New Roman" w:cs="Times New Roman"/>
          <w:sz w:val="24"/>
          <w:szCs w:val="24"/>
        </w:rPr>
        <w:t xml:space="preserve">ntó un punto de inflexión </w:t>
      </w:r>
      <w:r w:rsidR="00883407">
        <w:rPr>
          <w:rFonts w:ascii="Times New Roman" w:hAnsi="Times New Roman" w:cs="Times New Roman"/>
          <w:sz w:val="24"/>
          <w:szCs w:val="24"/>
        </w:rPr>
        <w:t xml:space="preserve">financiera y económica, también </w:t>
      </w:r>
      <w:r w:rsidR="005D029B">
        <w:rPr>
          <w:rFonts w:ascii="Times New Roman" w:hAnsi="Times New Roman" w:cs="Times New Roman"/>
          <w:sz w:val="24"/>
          <w:szCs w:val="24"/>
        </w:rPr>
        <w:t xml:space="preserve">una fase de </w:t>
      </w:r>
      <w:r w:rsidR="00206AF6">
        <w:rPr>
          <w:rFonts w:ascii="Times New Roman" w:hAnsi="Times New Roman" w:cs="Times New Roman"/>
          <w:sz w:val="24"/>
          <w:szCs w:val="24"/>
        </w:rPr>
        <w:t>d</w:t>
      </w:r>
      <w:r w:rsidR="005D029B">
        <w:rPr>
          <w:rFonts w:ascii="Times New Roman" w:hAnsi="Times New Roman" w:cs="Times New Roman"/>
          <w:sz w:val="24"/>
          <w:szCs w:val="24"/>
        </w:rPr>
        <w:t>eflacionaria</w:t>
      </w:r>
      <w:r w:rsidR="004F0F61">
        <w:rPr>
          <w:rFonts w:ascii="Times New Roman" w:hAnsi="Times New Roman" w:cs="Times New Roman"/>
          <w:sz w:val="24"/>
          <w:szCs w:val="24"/>
        </w:rPr>
        <w:t xml:space="preserve"> para la economía estadunidense</w:t>
      </w:r>
      <w:r w:rsidR="00EE5ECA">
        <w:rPr>
          <w:rFonts w:ascii="Times New Roman" w:hAnsi="Times New Roman" w:cs="Times New Roman"/>
          <w:sz w:val="24"/>
          <w:szCs w:val="24"/>
        </w:rPr>
        <w:t>,</w:t>
      </w:r>
      <w:r w:rsidR="006F371C">
        <w:rPr>
          <w:rFonts w:ascii="Times New Roman" w:hAnsi="Times New Roman" w:cs="Times New Roman"/>
          <w:sz w:val="24"/>
          <w:szCs w:val="24"/>
        </w:rPr>
        <w:t xml:space="preserve"> </w:t>
      </w:r>
      <w:r w:rsidR="005D029B">
        <w:rPr>
          <w:rFonts w:ascii="Times New Roman" w:hAnsi="Times New Roman" w:cs="Times New Roman"/>
          <w:sz w:val="24"/>
          <w:szCs w:val="24"/>
        </w:rPr>
        <w:t xml:space="preserve">entorno </w:t>
      </w:r>
      <w:r w:rsidR="00E178F1">
        <w:rPr>
          <w:rFonts w:ascii="Times New Roman" w:hAnsi="Times New Roman" w:cs="Times New Roman"/>
          <w:sz w:val="24"/>
          <w:szCs w:val="24"/>
        </w:rPr>
        <w:t xml:space="preserve">que </w:t>
      </w:r>
      <w:r w:rsidR="005D029B">
        <w:rPr>
          <w:rFonts w:ascii="Times New Roman" w:hAnsi="Times New Roman" w:cs="Times New Roman"/>
          <w:sz w:val="24"/>
          <w:szCs w:val="24"/>
        </w:rPr>
        <w:t xml:space="preserve">ha sido compensado mediante la </w:t>
      </w:r>
      <w:r w:rsidR="00E178F1">
        <w:rPr>
          <w:rFonts w:ascii="Times New Roman" w:hAnsi="Times New Roman" w:cs="Times New Roman"/>
          <w:sz w:val="24"/>
          <w:szCs w:val="24"/>
        </w:rPr>
        <w:t>instrumenta</w:t>
      </w:r>
      <w:r w:rsidR="005D029B">
        <w:rPr>
          <w:rFonts w:ascii="Times New Roman" w:hAnsi="Times New Roman" w:cs="Times New Roman"/>
          <w:sz w:val="24"/>
          <w:szCs w:val="24"/>
        </w:rPr>
        <w:t xml:space="preserve">ción de </w:t>
      </w:r>
      <w:r w:rsidR="00E178F1">
        <w:rPr>
          <w:rFonts w:ascii="Times New Roman" w:hAnsi="Times New Roman" w:cs="Times New Roman"/>
          <w:sz w:val="24"/>
          <w:szCs w:val="24"/>
        </w:rPr>
        <w:t xml:space="preserve">un conjunto </w:t>
      </w:r>
      <w:r w:rsidR="00E178F1" w:rsidRPr="00E178F1">
        <w:rPr>
          <w:rFonts w:ascii="Times New Roman" w:hAnsi="Times New Roman" w:cs="Times New Roman"/>
          <w:sz w:val="24"/>
          <w:szCs w:val="24"/>
        </w:rPr>
        <w:t>de medidas no convencionales</w:t>
      </w:r>
      <w:r w:rsidR="00883407">
        <w:rPr>
          <w:rFonts w:ascii="Times New Roman" w:hAnsi="Times New Roman" w:cs="Times New Roman"/>
          <w:sz w:val="24"/>
          <w:szCs w:val="24"/>
        </w:rPr>
        <w:t>,</w:t>
      </w:r>
      <w:r w:rsidR="00E178F1">
        <w:rPr>
          <w:rFonts w:ascii="Times New Roman" w:hAnsi="Times New Roman" w:cs="Times New Roman"/>
          <w:sz w:val="24"/>
          <w:szCs w:val="24"/>
        </w:rPr>
        <w:t xml:space="preserve"> en la perspectiva de asegurar la rentabilidad (</w:t>
      </w:r>
      <w:r w:rsidR="00E178F1" w:rsidRPr="00D80D69">
        <w:rPr>
          <w:rFonts w:ascii="Times New Roman" w:hAnsi="Times New Roman" w:cs="Times New Roman"/>
          <w:sz w:val="24"/>
          <w:szCs w:val="24"/>
        </w:rPr>
        <w:t>balances contables</w:t>
      </w:r>
      <w:r w:rsidR="00E178F1">
        <w:rPr>
          <w:rFonts w:ascii="Times New Roman" w:hAnsi="Times New Roman" w:cs="Times New Roman"/>
          <w:sz w:val="24"/>
          <w:szCs w:val="24"/>
        </w:rPr>
        <w:t xml:space="preserve">) de las </w:t>
      </w:r>
      <w:r w:rsidR="00E178F1" w:rsidRPr="00D80D69">
        <w:rPr>
          <w:rFonts w:ascii="Times New Roman" w:hAnsi="Times New Roman" w:cs="Times New Roman"/>
          <w:sz w:val="24"/>
          <w:szCs w:val="24"/>
        </w:rPr>
        <w:t>corporaciones financieras y no financieras</w:t>
      </w:r>
      <w:r w:rsidR="00883407">
        <w:rPr>
          <w:rFonts w:ascii="Times New Roman" w:hAnsi="Times New Roman" w:cs="Times New Roman"/>
          <w:sz w:val="24"/>
          <w:szCs w:val="24"/>
        </w:rPr>
        <w:t>,</w:t>
      </w:r>
      <w:r w:rsidR="00E178F1">
        <w:rPr>
          <w:rFonts w:ascii="Times New Roman" w:hAnsi="Times New Roman" w:cs="Times New Roman"/>
          <w:sz w:val="24"/>
          <w:szCs w:val="24"/>
        </w:rPr>
        <w:t xml:space="preserve"> a </w:t>
      </w:r>
      <w:r w:rsidR="00E178F1" w:rsidRPr="00A2537C">
        <w:rPr>
          <w:rFonts w:ascii="Times New Roman" w:hAnsi="Times New Roman" w:cs="Times New Roman"/>
          <w:sz w:val="24"/>
          <w:szCs w:val="24"/>
        </w:rPr>
        <w:t xml:space="preserve">través </w:t>
      </w:r>
      <w:r w:rsidR="005D029B" w:rsidRPr="00A2537C">
        <w:rPr>
          <w:rFonts w:ascii="Times New Roman" w:hAnsi="Times New Roman" w:cs="Times New Roman"/>
          <w:sz w:val="24"/>
          <w:szCs w:val="24"/>
        </w:rPr>
        <w:t xml:space="preserve">de </w:t>
      </w:r>
      <w:r w:rsidR="00E178F1" w:rsidRPr="00A2537C">
        <w:rPr>
          <w:rFonts w:ascii="Times New Roman" w:hAnsi="Times New Roman" w:cs="Times New Roman"/>
          <w:sz w:val="24"/>
          <w:szCs w:val="24"/>
        </w:rPr>
        <w:t>programas de estímulos monetarios (</w:t>
      </w:r>
      <w:proofErr w:type="spellStart"/>
      <w:r w:rsidR="00E178F1" w:rsidRPr="00A2537C">
        <w:rPr>
          <w:rFonts w:ascii="Times New Roman" w:hAnsi="Times New Roman" w:cs="Times New Roman"/>
          <w:sz w:val="24"/>
          <w:szCs w:val="24"/>
        </w:rPr>
        <w:t>quantative</w:t>
      </w:r>
      <w:proofErr w:type="spellEnd"/>
      <w:r w:rsidR="00E178F1" w:rsidRPr="00A2537C">
        <w:rPr>
          <w:rFonts w:ascii="Times New Roman" w:hAnsi="Times New Roman" w:cs="Times New Roman"/>
          <w:sz w:val="24"/>
          <w:szCs w:val="24"/>
        </w:rPr>
        <w:t xml:space="preserve"> </w:t>
      </w:r>
      <w:proofErr w:type="spellStart"/>
      <w:r w:rsidR="00E178F1" w:rsidRPr="00A2537C">
        <w:rPr>
          <w:rFonts w:ascii="Times New Roman" w:hAnsi="Times New Roman" w:cs="Times New Roman"/>
          <w:sz w:val="24"/>
          <w:szCs w:val="24"/>
        </w:rPr>
        <w:t>easing</w:t>
      </w:r>
      <w:proofErr w:type="spellEnd"/>
      <w:r w:rsidR="00E178F1" w:rsidRPr="00A2537C">
        <w:rPr>
          <w:rFonts w:ascii="Times New Roman" w:hAnsi="Times New Roman" w:cs="Times New Roman"/>
          <w:sz w:val="24"/>
          <w:szCs w:val="24"/>
        </w:rPr>
        <w:t>)</w:t>
      </w:r>
      <w:r w:rsidR="00883407" w:rsidRPr="00A2537C">
        <w:rPr>
          <w:rFonts w:ascii="Times New Roman" w:hAnsi="Times New Roman" w:cs="Times New Roman"/>
          <w:sz w:val="24"/>
          <w:szCs w:val="24"/>
        </w:rPr>
        <w:t xml:space="preserve">. </w:t>
      </w:r>
      <w:r w:rsidR="00CA03C3" w:rsidRPr="00A2537C">
        <w:rPr>
          <w:rFonts w:ascii="Times New Roman" w:hAnsi="Times New Roman" w:cs="Times New Roman"/>
          <w:sz w:val="24"/>
          <w:szCs w:val="24"/>
        </w:rPr>
        <w:t xml:space="preserve">De esta forma, </w:t>
      </w:r>
      <w:r w:rsidR="00883407" w:rsidRPr="00A2537C">
        <w:rPr>
          <w:rFonts w:ascii="Times New Roman" w:hAnsi="Times New Roman" w:cs="Times New Roman"/>
          <w:sz w:val="24"/>
          <w:szCs w:val="24"/>
        </w:rPr>
        <w:t xml:space="preserve">la </w:t>
      </w:r>
      <w:r w:rsidR="00CA03C3" w:rsidRPr="00A2537C">
        <w:rPr>
          <w:rFonts w:ascii="Times New Roman" w:hAnsi="Times New Roman" w:cs="Times New Roman"/>
          <w:sz w:val="24"/>
          <w:szCs w:val="24"/>
        </w:rPr>
        <w:t xml:space="preserve">compra significativa de bonos del tesoro e hipotecarios por parte de la FED (política monetaria expansiva no convencional), ante los choques de 2008 y 2020, está orientada a reducir el valor de los bienes y servicios </w:t>
      </w:r>
      <w:r w:rsidR="007348F3" w:rsidRPr="00A2537C">
        <w:rPr>
          <w:rFonts w:ascii="Times New Roman" w:hAnsi="Times New Roman" w:cs="Times New Roman"/>
          <w:sz w:val="24"/>
          <w:szCs w:val="24"/>
        </w:rPr>
        <w:t>para revertir el proceso deflacionista que ambos episodios económicos disruptivos han inducido</w:t>
      </w:r>
      <w:r w:rsidR="004B0568" w:rsidRPr="00A2537C">
        <w:rPr>
          <w:rFonts w:ascii="Times New Roman" w:hAnsi="Times New Roman" w:cs="Times New Roman"/>
          <w:sz w:val="24"/>
          <w:szCs w:val="24"/>
        </w:rPr>
        <w:t xml:space="preserve">; un ángulo de </w:t>
      </w:r>
      <w:r w:rsidR="00C454D2" w:rsidRPr="00A2537C">
        <w:rPr>
          <w:rFonts w:ascii="Times New Roman" w:hAnsi="Times New Roman" w:cs="Times New Roman"/>
          <w:sz w:val="24"/>
          <w:szCs w:val="24"/>
        </w:rPr>
        <w:t>esta conjetura</w:t>
      </w:r>
      <w:r w:rsidR="004B0568" w:rsidRPr="00A2537C">
        <w:rPr>
          <w:rFonts w:ascii="Times New Roman" w:hAnsi="Times New Roman" w:cs="Times New Roman"/>
          <w:sz w:val="24"/>
          <w:szCs w:val="24"/>
        </w:rPr>
        <w:t xml:space="preserve"> lo confirma el efecto que pro</w:t>
      </w:r>
      <w:r w:rsidR="004B0568">
        <w:rPr>
          <w:rFonts w:ascii="Times New Roman" w:hAnsi="Times New Roman" w:cs="Times New Roman"/>
          <w:sz w:val="24"/>
          <w:szCs w:val="24"/>
        </w:rPr>
        <w:t>duce el aumento de la deuda y la oferta monetaria sobre la evolución de precios</w:t>
      </w:r>
      <w:r w:rsidR="00C454D2">
        <w:rPr>
          <w:rFonts w:ascii="Times New Roman" w:hAnsi="Times New Roman" w:cs="Times New Roman"/>
          <w:sz w:val="24"/>
          <w:szCs w:val="24"/>
        </w:rPr>
        <w:t>, véase cuadro 3</w:t>
      </w:r>
      <w:r w:rsidR="007348F3" w:rsidRPr="00A2537C">
        <w:rPr>
          <w:rFonts w:ascii="Times New Roman" w:hAnsi="Times New Roman" w:cs="Times New Roman"/>
          <w:sz w:val="24"/>
          <w:szCs w:val="24"/>
        </w:rPr>
        <w:t>.</w:t>
      </w:r>
      <w:r w:rsidR="004B0568" w:rsidRPr="00A2537C">
        <w:rPr>
          <w:rFonts w:ascii="Times New Roman" w:hAnsi="Times New Roman" w:cs="Times New Roman"/>
          <w:sz w:val="24"/>
          <w:szCs w:val="24"/>
        </w:rPr>
        <w:t xml:space="preserve"> </w:t>
      </w:r>
    </w:p>
    <w:p w14:paraId="67BE2291" w14:textId="35020CFD" w:rsidR="00F85178" w:rsidRDefault="00C454D2" w:rsidP="00B76842">
      <w:pPr>
        <w:spacing w:after="0" w:line="360" w:lineRule="auto"/>
        <w:ind w:firstLine="708"/>
        <w:jc w:val="both"/>
        <w:rPr>
          <w:rFonts w:ascii="Times New Roman" w:hAnsi="Times New Roman" w:cs="Times New Roman"/>
          <w:sz w:val="24"/>
          <w:szCs w:val="24"/>
        </w:rPr>
      </w:pPr>
      <w:r w:rsidRPr="00A2537C">
        <w:rPr>
          <w:rFonts w:ascii="Times New Roman" w:hAnsi="Times New Roman" w:cs="Times New Roman"/>
          <w:sz w:val="24"/>
          <w:szCs w:val="24"/>
        </w:rPr>
        <w:t>Si bien</w:t>
      </w:r>
      <w:r w:rsidR="00F85178" w:rsidRPr="00A2537C">
        <w:rPr>
          <w:rFonts w:ascii="Times New Roman" w:hAnsi="Times New Roman" w:cs="Times New Roman"/>
          <w:sz w:val="24"/>
          <w:szCs w:val="24"/>
        </w:rPr>
        <w:t xml:space="preserve"> los estímulos monetarios instrumentados por el Departamento del Tesoro y la FED constituyen la principal medida para amortiguar la recesión y orientar la recuperación económica, según nuestra</w:t>
      </w:r>
      <w:r w:rsidR="00B2387B" w:rsidRPr="00A2537C">
        <w:rPr>
          <w:rFonts w:ascii="Times New Roman" w:hAnsi="Times New Roman" w:cs="Times New Roman"/>
          <w:sz w:val="24"/>
          <w:szCs w:val="24"/>
        </w:rPr>
        <w:t>s</w:t>
      </w:r>
      <w:r w:rsidR="00F85178" w:rsidRPr="00A2537C">
        <w:rPr>
          <w:rFonts w:ascii="Times New Roman" w:hAnsi="Times New Roman" w:cs="Times New Roman"/>
          <w:sz w:val="24"/>
          <w:szCs w:val="24"/>
        </w:rPr>
        <w:t xml:space="preserve"> estimaci</w:t>
      </w:r>
      <w:r w:rsidR="00B2387B" w:rsidRPr="00A2537C">
        <w:rPr>
          <w:rFonts w:ascii="Times New Roman" w:hAnsi="Times New Roman" w:cs="Times New Roman"/>
          <w:sz w:val="24"/>
          <w:szCs w:val="24"/>
        </w:rPr>
        <w:t xml:space="preserve">ones </w:t>
      </w:r>
      <w:r w:rsidR="00F85178" w:rsidRPr="00A2537C">
        <w:rPr>
          <w:rFonts w:ascii="Times New Roman" w:hAnsi="Times New Roman" w:cs="Times New Roman"/>
          <w:sz w:val="24"/>
          <w:szCs w:val="24"/>
        </w:rPr>
        <w:t xml:space="preserve">el </w:t>
      </w:r>
      <w:r w:rsidR="00B2387B" w:rsidRPr="00A2537C">
        <w:rPr>
          <w:rFonts w:ascii="Times New Roman" w:hAnsi="Times New Roman" w:cs="Times New Roman"/>
          <w:sz w:val="24"/>
          <w:szCs w:val="24"/>
        </w:rPr>
        <w:t xml:space="preserve">incremento </w:t>
      </w:r>
      <w:r w:rsidR="00F85178" w:rsidRPr="00A2537C">
        <w:rPr>
          <w:rFonts w:ascii="Times New Roman" w:hAnsi="Times New Roman" w:cs="Times New Roman"/>
          <w:sz w:val="24"/>
          <w:szCs w:val="24"/>
        </w:rPr>
        <w:t>de la deuda parece no generar un estímulo significativo de la actividad productiva</w:t>
      </w:r>
      <w:r w:rsidR="00B2387B" w:rsidRPr="00A2537C">
        <w:rPr>
          <w:rFonts w:ascii="Times New Roman" w:hAnsi="Times New Roman" w:cs="Times New Roman"/>
          <w:sz w:val="24"/>
          <w:szCs w:val="24"/>
        </w:rPr>
        <w:t xml:space="preserve"> (demanda agregada deprimida)</w:t>
      </w:r>
      <w:r w:rsidR="00F85178" w:rsidRPr="00A2537C">
        <w:rPr>
          <w:rFonts w:ascii="Times New Roman" w:hAnsi="Times New Roman" w:cs="Times New Roman"/>
          <w:sz w:val="24"/>
          <w:szCs w:val="24"/>
        </w:rPr>
        <w:t xml:space="preserve">; lo cual confirma la idea </w:t>
      </w:r>
      <w:r w:rsidR="00FA74A1" w:rsidRPr="00A2537C">
        <w:rPr>
          <w:rFonts w:ascii="Times New Roman" w:hAnsi="Times New Roman" w:cs="Times New Roman"/>
          <w:sz w:val="24"/>
          <w:szCs w:val="24"/>
        </w:rPr>
        <w:t>sobre</w:t>
      </w:r>
      <w:r w:rsidR="00F85178" w:rsidRPr="00A2537C">
        <w:rPr>
          <w:rFonts w:ascii="Times New Roman" w:hAnsi="Times New Roman" w:cs="Times New Roman"/>
          <w:sz w:val="24"/>
          <w:szCs w:val="24"/>
        </w:rPr>
        <w:t xml:space="preserve"> la presencia de sesgos en la distribución del ingreso. Una consecuencia en el horizonte se ciñe sobre los riesgos ante choques futuros en términos de una crisis fiscal, debido al excesivo aumento del tamaño y </w:t>
      </w:r>
      <w:r w:rsidR="00901D74" w:rsidRPr="00A2537C">
        <w:rPr>
          <w:rFonts w:ascii="Times New Roman" w:hAnsi="Times New Roman" w:cs="Times New Roman"/>
          <w:sz w:val="24"/>
          <w:szCs w:val="24"/>
        </w:rPr>
        <w:t>del</w:t>
      </w:r>
      <w:r w:rsidR="00F85178" w:rsidRPr="00A2537C">
        <w:rPr>
          <w:rFonts w:ascii="Times New Roman" w:hAnsi="Times New Roman" w:cs="Times New Roman"/>
          <w:sz w:val="24"/>
          <w:szCs w:val="24"/>
        </w:rPr>
        <w:t xml:space="preserve"> costo de la </w:t>
      </w:r>
      <w:r w:rsidR="00901D74" w:rsidRPr="00A2537C">
        <w:rPr>
          <w:rFonts w:ascii="Times New Roman" w:hAnsi="Times New Roman" w:cs="Times New Roman"/>
          <w:sz w:val="24"/>
          <w:szCs w:val="24"/>
        </w:rPr>
        <w:t>deuda</w:t>
      </w:r>
      <w:r w:rsidR="00FA74A1" w:rsidRPr="00A2537C">
        <w:rPr>
          <w:rFonts w:ascii="Times New Roman" w:hAnsi="Times New Roman" w:cs="Times New Roman"/>
          <w:sz w:val="24"/>
          <w:szCs w:val="24"/>
        </w:rPr>
        <w:t>, además de los asociados con el proceso de sobrevaloración de los portafolios bursátiles</w:t>
      </w:r>
      <w:r w:rsidR="00F85178" w:rsidRPr="00A2537C">
        <w:rPr>
          <w:rFonts w:ascii="Times New Roman" w:hAnsi="Times New Roman" w:cs="Times New Roman"/>
          <w:sz w:val="24"/>
          <w:szCs w:val="24"/>
        </w:rPr>
        <w:t>.</w:t>
      </w:r>
      <w:bookmarkEnd w:id="10"/>
    </w:p>
    <w:p w14:paraId="036A7204" w14:textId="77777777" w:rsidR="00F947F0" w:rsidRDefault="00B76842" w:rsidP="00BB1DDA">
      <w:pPr>
        <w:spacing w:after="0" w:line="360" w:lineRule="auto"/>
        <w:rPr>
          <w:rFonts w:ascii="Times New Roman" w:hAnsi="Times New Roman" w:cs="Times New Roman"/>
          <w:b/>
          <w:bCs/>
          <w:sz w:val="24"/>
          <w:szCs w:val="24"/>
        </w:rPr>
      </w:pPr>
      <w:r w:rsidRPr="00B76842">
        <w:rPr>
          <w:rFonts w:ascii="Times New Roman" w:hAnsi="Times New Roman" w:cs="Times New Roman"/>
          <w:b/>
          <w:bCs/>
          <w:sz w:val="24"/>
          <w:szCs w:val="24"/>
        </w:rPr>
        <w:t>Conclusión</w:t>
      </w:r>
    </w:p>
    <w:p w14:paraId="12EE27EE" w14:textId="31B0BC8E" w:rsidR="00F947F0" w:rsidRDefault="00F947F0" w:rsidP="00BB1DDA">
      <w:pPr>
        <w:spacing w:after="0" w:line="360" w:lineRule="auto"/>
        <w:jc w:val="both"/>
        <w:rPr>
          <w:rFonts w:ascii="Times New Roman" w:hAnsi="Times New Roman" w:cs="Times New Roman"/>
          <w:sz w:val="24"/>
          <w:szCs w:val="24"/>
        </w:rPr>
      </w:pPr>
      <w:r w:rsidRPr="00FA27A2">
        <w:rPr>
          <w:rFonts w:ascii="Times New Roman" w:hAnsi="Times New Roman" w:cs="Times New Roman"/>
          <w:sz w:val="24"/>
          <w:szCs w:val="24"/>
        </w:rPr>
        <w:lastRenderedPageBreak/>
        <w:t>E</w:t>
      </w:r>
      <w:r>
        <w:rPr>
          <w:rFonts w:ascii="Times New Roman" w:hAnsi="Times New Roman" w:cs="Times New Roman"/>
          <w:sz w:val="24"/>
          <w:szCs w:val="24"/>
        </w:rPr>
        <w:t xml:space="preserve">n </w:t>
      </w:r>
      <w:r w:rsidRPr="00FA27A2">
        <w:rPr>
          <w:rFonts w:ascii="Times New Roman" w:hAnsi="Times New Roman" w:cs="Times New Roman"/>
          <w:sz w:val="24"/>
          <w:szCs w:val="24"/>
        </w:rPr>
        <w:t>este artículo es</w:t>
      </w:r>
      <w:r>
        <w:rPr>
          <w:rFonts w:ascii="Times New Roman" w:hAnsi="Times New Roman" w:cs="Times New Roman"/>
          <w:sz w:val="24"/>
          <w:szCs w:val="24"/>
        </w:rPr>
        <w:t>tudiamos</w:t>
      </w:r>
      <w:r w:rsidRPr="00FA27A2">
        <w:rPr>
          <w:rFonts w:ascii="Times New Roman" w:hAnsi="Times New Roman" w:cs="Times New Roman"/>
          <w:sz w:val="24"/>
          <w:szCs w:val="24"/>
        </w:rPr>
        <w:t xml:space="preserve"> la relación entre la política monetaria de la Fed, la deuda pública de Estados Unidos y el mercado de valores durante el periodo 2000-2020.</w:t>
      </w:r>
      <w:r>
        <w:rPr>
          <w:rFonts w:ascii="Times New Roman" w:hAnsi="Times New Roman" w:cs="Times New Roman"/>
          <w:sz w:val="24"/>
          <w:szCs w:val="24"/>
        </w:rPr>
        <w:t xml:space="preserve"> La Fed ha utilizado de manera pragmática diversos instrumentos para conseguir su doble mandato de estabilidad de precios y pleno empleo, desde la Curva de Phillips (años 1960), los agregados monetarios y la hipótesis de la tasa natural de desempleo de Friedman (1979-1982), la Curva de Taylor (1984-2007) y la política monetaria no convencional (2009-2020).</w:t>
      </w:r>
      <w:r w:rsidRPr="00FA27A2">
        <w:rPr>
          <w:rFonts w:ascii="Times New Roman" w:hAnsi="Times New Roman" w:cs="Times New Roman"/>
          <w:sz w:val="24"/>
          <w:szCs w:val="24"/>
        </w:rPr>
        <w:t xml:space="preserve"> </w:t>
      </w:r>
    </w:p>
    <w:p w14:paraId="30C2009E" w14:textId="747EB4D2" w:rsidR="00BB1DDA" w:rsidRDefault="00F947F0" w:rsidP="007967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Nuestro análisis econométrico </w:t>
      </w:r>
      <w:r w:rsidRPr="00FA27A2">
        <w:rPr>
          <w:rFonts w:ascii="Times New Roman" w:hAnsi="Times New Roman" w:cs="Times New Roman"/>
          <w:sz w:val="24"/>
          <w:szCs w:val="24"/>
        </w:rPr>
        <w:t>que el principal efecto</w:t>
      </w:r>
      <w:r>
        <w:rPr>
          <w:rFonts w:ascii="Times New Roman" w:hAnsi="Times New Roman" w:cs="Times New Roman"/>
          <w:sz w:val="24"/>
          <w:szCs w:val="24"/>
        </w:rPr>
        <w:t xml:space="preserve"> del uso de la deuda como instrumento de estabilización desde la crisis financiera de 2007 al presente ha sido</w:t>
      </w:r>
      <w:r w:rsidRPr="00FA27A2">
        <w:rPr>
          <w:rFonts w:ascii="Times New Roman" w:hAnsi="Times New Roman" w:cs="Times New Roman"/>
          <w:sz w:val="24"/>
          <w:szCs w:val="24"/>
        </w:rPr>
        <w:t xml:space="preserve"> sobre el mercado de valores, la respuesta del índice bursátil ante un incremento de la deuda pública es significativamente elástica. </w:t>
      </w:r>
      <w:r>
        <w:rPr>
          <w:rFonts w:ascii="Times New Roman" w:hAnsi="Times New Roman" w:cs="Times New Roman"/>
          <w:sz w:val="24"/>
          <w:szCs w:val="24"/>
        </w:rPr>
        <w:t>L</w:t>
      </w:r>
      <w:r w:rsidRPr="00A2537C">
        <w:rPr>
          <w:rFonts w:ascii="Times New Roman" w:hAnsi="Times New Roman" w:cs="Times New Roman"/>
          <w:sz w:val="24"/>
          <w:szCs w:val="24"/>
        </w:rPr>
        <w:t xml:space="preserve">a compra </w:t>
      </w:r>
      <w:r>
        <w:rPr>
          <w:rFonts w:ascii="Times New Roman" w:hAnsi="Times New Roman" w:cs="Times New Roman"/>
          <w:sz w:val="24"/>
          <w:szCs w:val="24"/>
        </w:rPr>
        <w:t xml:space="preserve">masiva </w:t>
      </w:r>
      <w:r w:rsidRPr="00A2537C">
        <w:rPr>
          <w:rFonts w:ascii="Times New Roman" w:hAnsi="Times New Roman" w:cs="Times New Roman"/>
          <w:sz w:val="24"/>
          <w:szCs w:val="24"/>
        </w:rPr>
        <w:t>de títulos gubernamentales por parte de la F</w:t>
      </w:r>
      <w:r>
        <w:rPr>
          <w:rFonts w:ascii="Times New Roman" w:hAnsi="Times New Roman" w:cs="Times New Roman"/>
          <w:sz w:val="24"/>
          <w:szCs w:val="24"/>
        </w:rPr>
        <w:t>ed</w:t>
      </w:r>
      <w:r w:rsidRPr="00A2537C">
        <w:rPr>
          <w:rFonts w:ascii="Times New Roman" w:hAnsi="Times New Roman" w:cs="Times New Roman"/>
          <w:sz w:val="24"/>
          <w:szCs w:val="24"/>
        </w:rPr>
        <w:t xml:space="preserve"> </w:t>
      </w:r>
      <w:r>
        <w:rPr>
          <w:rFonts w:ascii="Times New Roman" w:hAnsi="Times New Roman" w:cs="Times New Roman"/>
          <w:sz w:val="24"/>
          <w:szCs w:val="24"/>
        </w:rPr>
        <w:t xml:space="preserve">mediante el </w:t>
      </w:r>
      <w:r w:rsidRPr="00A2537C">
        <w:rPr>
          <w:rFonts w:ascii="Times New Roman" w:hAnsi="Times New Roman" w:cs="Times New Roman"/>
          <w:sz w:val="24"/>
          <w:szCs w:val="24"/>
        </w:rPr>
        <w:t xml:space="preserve">aumento de </w:t>
      </w:r>
      <w:r>
        <w:rPr>
          <w:rFonts w:ascii="Times New Roman" w:hAnsi="Times New Roman" w:cs="Times New Roman"/>
          <w:sz w:val="24"/>
          <w:szCs w:val="24"/>
        </w:rPr>
        <w:t>su</w:t>
      </w:r>
      <w:r w:rsidRPr="00A2537C">
        <w:rPr>
          <w:rFonts w:ascii="Times New Roman" w:hAnsi="Times New Roman" w:cs="Times New Roman"/>
          <w:sz w:val="24"/>
          <w:szCs w:val="24"/>
        </w:rPr>
        <w:t xml:space="preserve"> hoja de balance</w:t>
      </w:r>
      <w:r w:rsidR="00B4327A">
        <w:rPr>
          <w:rFonts w:ascii="Times New Roman" w:hAnsi="Times New Roman" w:cs="Times New Roman"/>
          <w:sz w:val="24"/>
          <w:szCs w:val="24"/>
        </w:rPr>
        <w:t xml:space="preserve"> se ha dirigido a</w:t>
      </w:r>
      <w:r w:rsidRPr="00A2537C">
        <w:rPr>
          <w:rFonts w:ascii="Times New Roman" w:hAnsi="Times New Roman" w:cs="Times New Roman"/>
          <w:sz w:val="24"/>
          <w:szCs w:val="24"/>
        </w:rPr>
        <w:t xml:space="preserve"> estabili</w:t>
      </w:r>
      <w:r w:rsidR="00B4327A">
        <w:rPr>
          <w:rFonts w:ascii="Times New Roman" w:hAnsi="Times New Roman" w:cs="Times New Roman"/>
          <w:sz w:val="24"/>
          <w:szCs w:val="24"/>
        </w:rPr>
        <w:t>zar a</w:t>
      </w:r>
      <w:r w:rsidRPr="00A2537C">
        <w:rPr>
          <w:rFonts w:ascii="Times New Roman" w:hAnsi="Times New Roman" w:cs="Times New Roman"/>
          <w:sz w:val="24"/>
          <w:szCs w:val="24"/>
        </w:rPr>
        <w:t>l sistema financiero</w:t>
      </w:r>
      <w:r w:rsidR="00B4327A">
        <w:rPr>
          <w:rFonts w:ascii="Times New Roman" w:hAnsi="Times New Roman" w:cs="Times New Roman"/>
          <w:sz w:val="24"/>
          <w:szCs w:val="24"/>
        </w:rPr>
        <w:t>.</w:t>
      </w:r>
      <w:r>
        <w:rPr>
          <w:rFonts w:ascii="Times New Roman" w:hAnsi="Times New Roman" w:cs="Times New Roman"/>
          <w:sz w:val="24"/>
          <w:szCs w:val="24"/>
        </w:rPr>
        <w:t xml:space="preserve"> </w:t>
      </w:r>
      <w:r w:rsidR="006660A8">
        <w:rPr>
          <w:rFonts w:ascii="Times New Roman" w:hAnsi="Times New Roman" w:cs="Times New Roman"/>
          <w:sz w:val="24"/>
          <w:szCs w:val="24"/>
        </w:rPr>
        <w:t>La política monetaria no convencional ha generado un incremento en la deuda pública y en general del sector privado. Asimismo, ha permitido sortear el riesgo de deflación, pero no ha generado una aceleración del crecimiento de la economía real ni del empleo.</w:t>
      </w:r>
    </w:p>
    <w:p w14:paraId="3BEBC57D" w14:textId="5F042726" w:rsidR="007967F7" w:rsidRDefault="007967F7" w:rsidP="007967F7">
      <w:pPr>
        <w:spacing w:after="0" w:line="360" w:lineRule="auto"/>
        <w:jc w:val="both"/>
        <w:rPr>
          <w:rFonts w:ascii="Times New Roman" w:hAnsi="Times New Roman" w:cs="Times New Roman"/>
          <w:sz w:val="24"/>
          <w:szCs w:val="24"/>
        </w:rPr>
      </w:pPr>
    </w:p>
    <w:p w14:paraId="40B75609" w14:textId="1619965D" w:rsidR="00312768" w:rsidRDefault="007967F7" w:rsidP="00160163">
      <w:pPr>
        <w:spacing w:after="0" w:line="360" w:lineRule="auto"/>
        <w:jc w:val="both"/>
        <w:rPr>
          <w:rFonts w:ascii="Times New Roman" w:hAnsi="Times New Roman" w:cs="Times New Roman"/>
          <w:b/>
          <w:bCs/>
          <w:sz w:val="24"/>
          <w:szCs w:val="24"/>
        </w:rPr>
      </w:pPr>
      <w:r w:rsidRPr="00160163">
        <w:rPr>
          <w:rFonts w:ascii="Times New Roman" w:hAnsi="Times New Roman" w:cs="Times New Roman"/>
          <w:b/>
          <w:bCs/>
          <w:sz w:val="24"/>
          <w:szCs w:val="24"/>
        </w:rPr>
        <w:t>Anexos</w:t>
      </w:r>
      <w:r w:rsidR="00160163">
        <w:rPr>
          <w:rFonts w:ascii="Times New Roman" w:hAnsi="Times New Roman" w:cs="Times New Roman"/>
          <w:b/>
          <w:bCs/>
          <w:sz w:val="24"/>
          <w:szCs w:val="24"/>
        </w:rPr>
        <w:t xml:space="preserve"> </w:t>
      </w:r>
    </w:p>
    <w:tbl>
      <w:tblPr>
        <w:tblW w:w="8158" w:type="dxa"/>
        <w:jc w:val="center"/>
        <w:tblCellMar>
          <w:left w:w="70" w:type="dxa"/>
          <w:right w:w="70" w:type="dxa"/>
        </w:tblCellMar>
        <w:tblLook w:val="04A0" w:firstRow="1" w:lastRow="0" w:firstColumn="1" w:lastColumn="0" w:noHBand="0" w:noVBand="1"/>
      </w:tblPr>
      <w:tblGrid>
        <w:gridCol w:w="1415"/>
        <w:gridCol w:w="850"/>
        <w:gridCol w:w="849"/>
        <w:gridCol w:w="850"/>
        <w:gridCol w:w="850"/>
        <w:gridCol w:w="850"/>
        <w:gridCol w:w="850"/>
        <w:gridCol w:w="737"/>
        <w:gridCol w:w="907"/>
      </w:tblGrid>
      <w:tr w:rsidR="00267532" w:rsidRPr="001B429D" w14:paraId="44630C8A" w14:textId="1991CC17" w:rsidTr="00267532">
        <w:trPr>
          <w:trHeight w:val="264"/>
          <w:jc w:val="center"/>
        </w:trPr>
        <w:tc>
          <w:tcPr>
            <w:tcW w:w="8158" w:type="dxa"/>
            <w:gridSpan w:val="9"/>
            <w:tcBorders>
              <w:bottom w:val="single" w:sz="4" w:space="0" w:color="auto"/>
            </w:tcBorders>
            <w:vAlign w:val="center"/>
          </w:tcPr>
          <w:p w14:paraId="4D861E25" w14:textId="77777777" w:rsidR="00267532" w:rsidRPr="00262E1C" w:rsidRDefault="00267532" w:rsidP="00267532">
            <w:pPr>
              <w:spacing w:after="0" w:line="240" w:lineRule="auto"/>
              <w:rPr>
                <w:rFonts w:ascii="Times New Roman" w:eastAsia="Times New Roman" w:hAnsi="Times New Roman"/>
                <w:b/>
                <w:bCs/>
                <w:sz w:val="24"/>
                <w:szCs w:val="24"/>
              </w:rPr>
            </w:pPr>
            <w:r w:rsidRPr="00262E1C">
              <w:rPr>
                <w:rFonts w:ascii="Times New Roman" w:eastAsia="Times New Roman" w:hAnsi="Times New Roman"/>
                <w:b/>
                <w:bCs/>
                <w:sz w:val="24"/>
                <w:szCs w:val="24"/>
              </w:rPr>
              <w:t>Tabla 1A</w:t>
            </w:r>
          </w:p>
          <w:p w14:paraId="094F60B5" w14:textId="3A0EEB3C" w:rsidR="00267532" w:rsidRPr="00977849" w:rsidRDefault="00267532" w:rsidP="00267532">
            <w:pPr>
              <w:spacing w:after="0" w:line="240" w:lineRule="auto"/>
              <w:rPr>
                <w:rFonts w:ascii="Times New Roman" w:eastAsia="Times New Roman" w:hAnsi="Times New Roman" w:cs="Times New Roman"/>
                <w:i/>
                <w:iCs/>
                <w:sz w:val="12"/>
                <w:szCs w:val="12"/>
                <w:lang w:eastAsia="es-MX"/>
              </w:rPr>
            </w:pPr>
            <w:r w:rsidRPr="00262E1C">
              <w:rPr>
                <w:rFonts w:ascii="Times New Roman" w:eastAsia="Times New Roman" w:hAnsi="Times New Roman"/>
                <w:b/>
                <w:bCs/>
                <w:sz w:val="24"/>
                <w:szCs w:val="24"/>
              </w:rPr>
              <w:t xml:space="preserve">Prueba de </w:t>
            </w:r>
            <w:r w:rsidR="00262E1C" w:rsidRPr="00262E1C">
              <w:rPr>
                <w:rFonts w:ascii="Times New Roman" w:eastAsia="Times New Roman" w:hAnsi="Times New Roman"/>
                <w:b/>
                <w:bCs/>
                <w:sz w:val="24"/>
                <w:szCs w:val="24"/>
              </w:rPr>
              <w:t>raíz unitaria</w:t>
            </w:r>
          </w:p>
        </w:tc>
      </w:tr>
      <w:tr w:rsidR="00267532" w:rsidRPr="001B429D" w14:paraId="392D97E9" w14:textId="77777777" w:rsidTr="00267532">
        <w:trPr>
          <w:trHeight w:val="264"/>
          <w:jc w:val="center"/>
        </w:trPr>
        <w:tc>
          <w:tcPr>
            <w:tcW w:w="1415" w:type="dxa"/>
            <w:vMerge w:val="restart"/>
            <w:tcBorders>
              <w:top w:val="single" w:sz="4" w:space="0" w:color="auto"/>
            </w:tcBorders>
            <w:vAlign w:val="center"/>
          </w:tcPr>
          <w:p w14:paraId="3964B699" w14:textId="507AF6D7" w:rsidR="00267532" w:rsidRPr="00977849" w:rsidRDefault="00267532" w:rsidP="00E53A29">
            <w:pPr>
              <w:spacing w:after="0" w:line="240" w:lineRule="auto"/>
              <w:jc w:val="center"/>
              <w:rPr>
                <w:rFonts w:ascii="Times New Roman" w:eastAsia="Times New Roman" w:hAnsi="Times New Roman" w:cs="Times New Roman"/>
                <w:i/>
                <w:iCs/>
                <w:sz w:val="12"/>
                <w:szCs w:val="12"/>
                <w:lang w:eastAsia="es-MX"/>
              </w:rPr>
            </w:pPr>
            <w:r>
              <w:rPr>
                <w:rFonts w:ascii="Times New Roman" w:eastAsia="Times New Roman" w:hAnsi="Times New Roman" w:cs="Times New Roman"/>
                <w:i/>
                <w:iCs/>
                <w:sz w:val="18"/>
                <w:szCs w:val="18"/>
                <w:lang w:eastAsia="es-MX"/>
              </w:rPr>
              <w:t>Variable</w:t>
            </w:r>
          </w:p>
        </w:tc>
        <w:tc>
          <w:tcPr>
            <w:tcW w:w="2549" w:type="dxa"/>
            <w:gridSpan w:val="3"/>
            <w:tcBorders>
              <w:top w:val="single" w:sz="4" w:space="0" w:color="auto"/>
            </w:tcBorders>
            <w:shd w:val="clear" w:color="auto" w:fill="auto"/>
            <w:noWrap/>
            <w:vAlign w:val="center"/>
          </w:tcPr>
          <w:p w14:paraId="00C9DA5E" w14:textId="7BC55201" w:rsidR="00267532" w:rsidRPr="00267532" w:rsidRDefault="00267532" w:rsidP="00E53A29">
            <w:pPr>
              <w:spacing w:after="0" w:line="240" w:lineRule="auto"/>
              <w:jc w:val="center"/>
              <w:rPr>
                <w:rFonts w:ascii="Times New Roman" w:eastAsia="Times New Roman" w:hAnsi="Times New Roman" w:cs="Times New Roman"/>
                <w:i/>
                <w:iCs/>
                <w:sz w:val="18"/>
                <w:szCs w:val="18"/>
                <w:lang w:eastAsia="es-MX"/>
              </w:rPr>
            </w:pPr>
            <w:proofErr w:type="spellStart"/>
            <w:r w:rsidRPr="00267532">
              <w:rPr>
                <w:rFonts w:ascii="Times New Roman" w:eastAsia="Times New Roman" w:hAnsi="Times New Roman" w:cs="Times New Roman"/>
                <w:i/>
                <w:iCs/>
                <w:sz w:val="18"/>
                <w:szCs w:val="18"/>
                <w:lang w:eastAsia="es-MX"/>
              </w:rPr>
              <w:t>Dickey</w:t>
            </w:r>
            <w:proofErr w:type="spellEnd"/>
            <w:r w:rsidRPr="00267532">
              <w:rPr>
                <w:rFonts w:ascii="Times New Roman" w:eastAsia="Times New Roman" w:hAnsi="Times New Roman" w:cs="Times New Roman"/>
                <w:i/>
                <w:iCs/>
                <w:sz w:val="18"/>
                <w:szCs w:val="18"/>
                <w:lang w:eastAsia="es-MX"/>
              </w:rPr>
              <w:t xml:space="preserve"> Fuller Aumentado</w:t>
            </w:r>
          </w:p>
        </w:tc>
        <w:tc>
          <w:tcPr>
            <w:tcW w:w="2550" w:type="dxa"/>
            <w:gridSpan w:val="3"/>
            <w:tcBorders>
              <w:top w:val="single" w:sz="4" w:space="0" w:color="auto"/>
            </w:tcBorders>
            <w:vAlign w:val="center"/>
          </w:tcPr>
          <w:p w14:paraId="24AEFC3C" w14:textId="5D49D945" w:rsidR="00267532" w:rsidRPr="00267532" w:rsidRDefault="00267532" w:rsidP="00E53A29">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Phillips-</w:t>
            </w:r>
            <w:proofErr w:type="spellStart"/>
            <w:r w:rsidRPr="00267532">
              <w:rPr>
                <w:rFonts w:ascii="Times New Roman" w:eastAsia="Times New Roman" w:hAnsi="Times New Roman" w:cs="Times New Roman"/>
                <w:i/>
                <w:iCs/>
                <w:sz w:val="18"/>
                <w:szCs w:val="18"/>
                <w:lang w:eastAsia="es-MX"/>
              </w:rPr>
              <w:t>Perron</w:t>
            </w:r>
            <w:proofErr w:type="spellEnd"/>
          </w:p>
        </w:tc>
        <w:tc>
          <w:tcPr>
            <w:tcW w:w="737" w:type="dxa"/>
            <w:vMerge w:val="restart"/>
            <w:tcBorders>
              <w:top w:val="single" w:sz="4" w:space="0" w:color="auto"/>
            </w:tcBorders>
            <w:vAlign w:val="center"/>
          </w:tcPr>
          <w:p w14:paraId="6B5BEF09" w14:textId="3AE3851E" w:rsidR="00267532" w:rsidRPr="00977849" w:rsidRDefault="00267532" w:rsidP="00F35446">
            <w:pPr>
              <w:spacing w:after="0" w:line="240" w:lineRule="auto"/>
              <w:jc w:val="center"/>
              <w:rPr>
                <w:rFonts w:ascii="Times New Roman" w:eastAsia="Times New Roman" w:hAnsi="Times New Roman" w:cs="Times New Roman"/>
                <w:i/>
                <w:iCs/>
                <w:sz w:val="12"/>
                <w:szCs w:val="12"/>
                <w:lang w:eastAsia="es-MX"/>
              </w:rPr>
            </w:pPr>
            <w:r w:rsidRPr="00267532">
              <w:rPr>
                <w:rFonts w:ascii="Times New Roman" w:eastAsia="Times New Roman" w:hAnsi="Times New Roman" w:cs="Times New Roman"/>
                <w:i/>
                <w:iCs/>
                <w:sz w:val="16"/>
                <w:szCs w:val="16"/>
                <w:lang w:eastAsia="es-MX"/>
              </w:rPr>
              <w:t>Rezagos</w:t>
            </w:r>
          </w:p>
        </w:tc>
        <w:tc>
          <w:tcPr>
            <w:tcW w:w="907" w:type="dxa"/>
            <w:vMerge w:val="restart"/>
            <w:tcBorders>
              <w:top w:val="single" w:sz="4" w:space="0" w:color="auto"/>
            </w:tcBorders>
            <w:vAlign w:val="center"/>
          </w:tcPr>
          <w:p w14:paraId="2FADCA10" w14:textId="793146DD" w:rsidR="00267532" w:rsidRPr="00977849" w:rsidRDefault="00267532" w:rsidP="00E53A29">
            <w:pPr>
              <w:spacing w:after="0" w:line="240" w:lineRule="auto"/>
              <w:jc w:val="center"/>
              <w:rPr>
                <w:rFonts w:ascii="Times New Roman" w:eastAsia="Times New Roman" w:hAnsi="Times New Roman" w:cs="Times New Roman"/>
                <w:i/>
                <w:iCs/>
                <w:sz w:val="12"/>
                <w:szCs w:val="12"/>
                <w:lang w:eastAsia="es-MX"/>
              </w:rPr>
            </w:pPr>
            <w:r>
              <w:rPr>
                <w:rFonts w:ascii="Times New Roman" w:eastAsia="Times New Roman" w:hAnsi="Times New Roman" w:cs="Times New Roman"/>
                <w:i/>
                <w:iCs/>
                <w:sz w:val="12"/>
                <w:szCs w:val="12"/>
                <w:lang w:eastAsia="es-MX"/>
              </w:rPr>
              <w:t>Orden integración</w:t>
            </w:r>
          </w:p>
        </w:tc>
      </w:tr>
      <w:tr w:rsidR="00267532" w:rsidRPr="001B429D" w14:paraId="20816D74" w14:textId="453DA4C5" w:rsidTr="00267532">
        <w:trPr>
          <w:trHeight w:val="113"/>
          <w:jc w:val="center"/>
        </w:trPr>
        <w:tc>
          <w:tcPr>
            <w:tcW w:w="1415" w:type="dxa"/>
            <w:vMerge/>
            <w:tcBorders>
              <w:bottom w:val="single" w:sz="4" w:space="0" w:color="auto"/>
            </w:tcBorders>
          </w:tcPr>
          <w:p w14:paraId="35C90180" w14:textId="39A02A13" w:rsidR="00267532" w:rsidRPr="00E53A29" w:rsidRDefault="00267532" w:rsidP="00E53A29">
            <w:pPr>
              <w:spacing w:after="0" w:line="240" w:lineRule="auto"/>
              <w:jc w:val="center"/>
              <w:rPr>
                <w:rFonts w:ascii="Times New Roman" w:eastAsia="Times New Roman" w:hAnsi="Times New Roman" w:cs="Times New Roman"/>
                <w:i/>
                <w:iCs/>
                <w:sz w:val="18"/>
                <w:szCs w:val="18"/>
                <w:lang w:eastAsia="es-MX"/>
              </w:rPr>
            </w:pPr>
          </w:p>
        </w:tc>
        <w:tc>
          <w:tcPr>
            <w:tcW w:w="850" w:type="dxa"/>
            <w:tcBorders>
              <w:bottom w:val="single" w:sz="4" w:space="0" w:color="auto"/>
            </w:tcBorders>
            <w:shd w:val="clear" w:color="auto" w:fill="auto"/>
            <w:noWrap/>
            <w:vAlign w:val="center"/>
          </w:tcPr>
          <w:p w14:paraId="35865F14" w14:textId="2821DA86" w:rsidR="00267532" w:rsidRPr="00E53A29" w:rsidRDefault="00267532" w:rsidP="00E53A29">
            <w:pPr>
              <w:spacing w:after="0" w:line="240" w:lineRule="auto"/>
              <w:jc w:val="center"/>
              <w:rPr>
                <w:rFonts w:ascii="Times New Roman" w:eastAsia="Times New Roman" w:hAnsi="Times New Roman" w:cs="Times New Roman"/>
                <w:i/>
                <w:iCs/>
                <w:sz w:val="18"/>
                <w:szCs w:val="18"/>
                <w:lang w:eastAsia="es-MX"/>
              </w:rPr>
            </w:pPr>
            <w:r w:rsidRPr="00E53A29">
              <w:rPr>
                <w:rFonts w:ascii="Times New Roman" w:eastAsia="Times New Roman" w:hAnsi="Times New Roman" w:cs="Times New Roman"/>
                <w:i/>
                <w:iCs/>
                <w:sz w:val="18"/>
                <w:szCs w:val="18"/>
                <w:lang w:eastAsia="es-MX"/>
              </w:rPr>
              <w:t>Sin I y T</w:t>
            </w:r>
          </w:p>
        </w:tc>
        <w:tc>
          <w:tcPr>
            <w:tcW w:w="849" w:type="dxa"/>
            <w:tcBorders>
              <w:bottom w:val="single" w:sz="4" w:space="0" w:color="auto"/>
            </w:tcBorders>
          </w:tcPr>
          <w:p w14:paraId="072353A4" w14:textId="3CD89ADE" w:rsidR="00267532" w:rsidRPr="00E53A29" w:rsidRDefault="00267532" w:rsidP="00E53A29">
            <w:pPr>
              <w:spacing w:after="0" w:line="240" w:lineRule="auto"/>
              <w:jc w:val="center"/>
              <w:rPr>
                <w:rFonts w:ascii="Times New Roman" w:eastAsia="Times New Roman" w:hAnsi="Times New Roman" w:cs="Times New Roman"/>
                <w:i/>
                <w:iCs/>
                <w:sz w:val="18"/>
                <w:szCs w:val="18"/>
                <w:lang w:eastAsia="es-MX"/>
              </w:rPr>
            </w:pPr>
            <w:r w:rsidRPr="00E53A29">
              <w:rPr>
                <w:rFonts w:ascii="Times New Roman" w:eastAsia="Times New Roman" w:hAnsi="Times New Roman" w:cs="Times New Roman"/>
                <w:i/>
                <w:iCs/>
                <w:sz w:val="18"/>
                <w:szCs w:val="18"/>
                <w:lang w:eastAsia="es-MX"/>
              </w:rPr>
              <w:t>Con I</w:t>
            </w:r>
          </w:p>
        </w:tc>
        <w:tc>
          <w:tcPr>
            <w:tcW w:w="850" w:type="dxa"/>
            <w:tcBorders>
              <w:bottom w:val="single" w:sz="4" w:space="0" w:color="auto"/>
            </w:tcBorders>
          </w:tcPr>
          <w:p w14:paraId="3855FD3E" w14:textId="4FBB54C0" w:rsidR="00267532" w:rsidRPr="00E53A29" w:rsidRDefault="00267532" w:rsidP="00E53A29">
            <w:pPr>
              <w:spacing w:after="0" w:line="240" w:lineRule="auto"/>
              <w:jc w:val="center"/>
              <w:rPr>
                <w:rFonts w:ascii="Times New Roman" w:eastAsia="Times New Roman" w:hAnsi="Times New Roman" w:cs="Times New Roman"/>
                <w:i/>
                <w:iCs/>
                <w:sz w:val="18"/>
                <w:szCs w:val="18"/>
                <w:lang w:eastAsia="es-MX"/>
              </w:rPr>
            </w:pPr>
            <w:r w:rsidRPr="00E53A29">
              <w:rPr>
                <w:rFonts w:ascii="Times New Roman" w:eastAsia="Times New Roman" w:hAnsi="Times New Roman" w:cs="Times New Roman"/>
                <w:i/>
                <w:iCs/>
                <w:sz w:val="18"/>
                <w:szCs w:val="18"/>
                <w:lang w:eastAsia="es-MX"/>
              </w:rPr>
              <w:t>Con I y T</w:t>
            </w:r>
          </w:p>
        </w:tc>
        <w:tc>
          <w:tcPr>
            <w:tcW w:w="850" w:type="dxa"/>
            <w:tcBorders>
              <w:bottom w:val="single" w:sz="4" w:space="0" w:color="auto"/>
            </w:tcBorders>
            <w:vAlign w:val="center"/>
          </w:tcPr>
          <w:p w14:paraId="4C91D901" w14:textId="57914B5F" w:rsidR="00267532" w:rsidRPr="00E53A29" w:rsidRDefault="00267532" w:rsidP="00E53A29">
            <w:pPr>
              <w:spacing w:after="0" w:line="240" w:lineRule="auto"/>
              <w:jc w:val="center"/>
              <w:rPr>
                <w:rFonts w:ascii="Times New Roman" w:eastAsia="Times New Roman" w:hAnsi="Times New Roman" w:cs="Times New Roman"/>
                <w:i/>
                <w:iCs/>
                <w:sz w:val="18"/>
                <w:szCs w:val="18"/>
                <w:lang w:eastAsia="es-MX"/>
              </w:rPr>
            </w:pPr>
            <w:r w:rsidRPr="00E53A29">
              <w:rPr>
                <w:rFonts w:ascii="Times New Roman" w:eastAsia="Times New Roman" w:hAnsi="Times New Roman" w:cs="Times New Roman"/>
                <w:i/>
                <w:iCs/>
                <w:sz w:val="18"/>
                <w:szCs w:val="18"/>
                <w:lang w:eastAsia="es-MX"/>
              </w:rPr>
              <w:t>Sin I y T</w:t>
            </w:r>
          </w:p>
        </w:tc>
        <w:tc>
          <w:tcPr>
            <w:tcW w:w="850" w:type="dxa"/>
            <w:tcBorders>
              <w:bottom w:val="single" w:sz="4" w:space="0" w:color="auto"/>
            </w:tcBorders>
          </w:tcPr>
          <w:p w14:paraId="3A3762F2" w14:textId="7C055E57" w:rsidR="00267532" w:rsidRPr="00E53A29" w:rsidRDefault="00267532" w:rsidP="00E53A29">
            <w:pPr>
              <w:spacing w:after="0" w:line="240" w:lineRule="auto"/>
              <w:jc w:val="center"/>
              <w:rPr>
                <w:rFonts w:ascii="Times New Roman" w:eastAsia="Times New Roman" w:hAnsi="Times New Roman" w:cs="Times New Roman"/>
                <w:i/>
                <w:iCs/>
                <w:sz w:val="18"/>
                <w:szCs w:val="18"/>
                <w:lang w:eastAsia="es-MX"/>
              </w:rPr>
            </w:pPr>
            <w:r w:rsidRPr="00E53A29">
              <w:rPr>
                <w:rFonts w:ascii="Times New Roman" w:eastAsia="Times New Roman" w:hAnsi="Times New Roman" w:cs="Times New Roman"/>
                <w:i/>
                <w:iCs/>
                <w:sz w:val="18"/>
                <w:szCs w:val="18"/>
                <w:lang w:eastAsia="es-MX"/>
              </w:rPr>
              <w:t>Con I</w:t>
            </w:r>
          </w:p>
        </w:tc>
        <w:tc>
          <w:tcPr>
            <w:tcW w:w="850" w:type="dxa"/>
            <w:tcBorders>
              <w:bottom w:val="single" w:sz="4" w:space="0" w:color="auto"/>
            </w:tcBorders>
          </w:tcPr>
          <w:p w14:paraId="2F0D4054" w14:textId="75011FD8" w:rsidR="00267532" w:rsidRPr="00E53A29" w:rsidRDefault="00267532" w:rsidP="00E53A29">
            <w:pPr>
              <w:spacing w:after="0" w:line="240" w:lineRule="auto"/>
              <w:jc w:val="center"/>
              <w:rPr>
                <w:rFonts w:ascii="Times New Roman" w:eastAsia="Times New Roman" w:hAnsi="Times New Roman" w:cs="Times New Roman"/>
                <w:i/>
                <w:iCs/>
                <w:sz w:val="18"/>
                <w:szCs w:val="18"/>
                <w:lang w:eastAsia="es-MX"/>
              </w:rPr>
            </w:pPr>
            <w:r w:rsidRPr="00E53A29">
              <w:rPr>
                <w:rFonts w:ascii="Times New Roman" w:eastAsia="Times New Roman" w:hAnsi="Times New Roman" w:cs="Times New Roman"/>
                <w:i/>
                <w:iCs/>
                <w:sz w:val="18"/>
                <w:szCs w:val="18"/>
                <w:lang w:eastAsia="es-MX"/>
              </w:rPr>
              <w:t>Con I y T</w:t>
            </w:r>
          </w:p>
        </w:tc>
        <w:tc>
          <w:tcPr>
            <w:tcW w:w="737" w:type="dxa"/>
            <w:vMerge/>
            <w:tcBorders>
              <w:bottom w:val="single" w:sz="4" w:space="0" w:color="auto"/>
            </w:tcBorders>
            <w:vAlign w:val="center"/>
          </w:tcPr>
          <w:p w14:paraId="0A3BB18B" w14:textId="25FECBF7" w:rsidR="00267532" w:rsidRPr="00267532" w:rsidRDefault="00267532" w:rsidP="00F35446">
            <w:pPr>
              <w:spacing w:after="0" w:line="240" w:lineRule="auto"/>
              <w:jc w:val="center"/>
              <w:rPr>
                <w:rFonts w:ascii="Times New Roman" w:eastAsia="Times New Roman" w:hAnsi="Times New Roman" w:cs="Times New Roman"/>
                <w:i/>
                <w:iCs/>
                <w:sz w:val="16"/>
                <w:szCs w:val="16"/>
                <w:lang w:eastAsia="es-MX"/>
              </w:rPr>
            </w:pPr>
          </w:p>
        </w:tc>
        <w:tc>
          <w:tcPr>
            <w:tcW w:w="907" w:type="dxa"/>
            <w:vMerge/>
            <w:tcBorders>
              <w:bottom w:val="single" w:sz="4" w:space="0" w:color="auto"/>
            </w:tcBorders>
            <w:vAlign w:val="center"/>
          </w:tcPr>
          <w:p w14:paraId="68E6E910" w14:textId="72787662" w:rsidR="00267532" w:rsidRPr="00E53A29" w:rsidRDefault="00267532" w:rsidP="002F5C66">
            <w:pPr>
              <w:spacing w:after="0" w:line="240" w:lineRule="auto"/>
              <w:jc w:val="center"/>
              <w:rPr>
                <w:rFonts w:ascii="Times New Roman" w:eastAsia="Times New Roman" w:hAnsi="Times New Roman" w:cs="Times New Roman"/>
                <w:i/>
                <w:iCs/>
                <w:sz w:val="18"/>
                <w:szCs w:val="18"/>
                <w:lang w:eastAsia="es-MX"/>
              </w:rPr>
            </w:pPr>
          </w:p>
        </w:tc>
      </w:tr>
      <w:tr w:rsidR="00F35446" w:rsidRPr="001B429D" w14:paraId="56AF491E" w14:textId="3E422350" w:rsidTr="00267532">
        <w:trPr>
          <w:trHeight w:val="283"/>
          <w:jc w:val="center"/>
        </w:trPr>
        <w:tc>
          <w:tcPr>
            <w:tcW w:w="1415" w:type="dxa"/>
            <w:tcBorders>
              <w:top w:val="single" w:sz="4" w:space="0" w:color="auto"/>
            </w:tcBorders>
            <w:vAlign w:val="center"/>
          </w:tcPr>
          <w:p w14:paraId="0DE91852" w14:textId="56ABD1A6"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lnipc</w:t>
            </w:r>
            <w:proofErr w:type="spellEnd"/>
          </w:p>
        </w:tc>
        <w:tc>
          <w:tcPr>
            <w:tcW w:w="850" w:type="dxa"/>
            <w:tcBorders>
              <w:top w:val="single" w:sz="4" w:space="0" w:color="auto"/>
            </w:tcBorders>
            <w:shd w:val="clear" w:color="auto" w:fill="auto"/>
            <w:noWrap/>
            <w:vAlign w:val="center"/>
          </w:tcPr>
          <w:p w14:paraId="4BDF8E82" w14:textId="0AF88E0E"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-1.334</w:t>
            </w:r>
          </w:p>
        </w:tc>
        <w:tc>
          <w:tcPr>
            <w:tcW w:w="849" w:type="dxa"/>
            <w:tcBorders>
              <w:top w:val="single" w:sz="4" w:space="0" w:color="auto"/>
            </w:tcBorders>
            <w:vAlign w:val="center"/>
          </w:tcPr>
          <w:p w14:paraId="215C4B2A" w14:textId="00359DF7"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 xml:space="preserve">-3.201 </w:t>
            </w:r>
            <w:r>
              <w:rPr>
                <w:rFonts w:ascii="Times New Roman" w:eastAsia="Times New Roman" w:hAnsi="Times New Roman" w:cs="Times New Roman"/>
                <w:i/>
                <w:iCs/>
                <w:sz w:val="18"/>
                <w:szCs w:val="18"/>
                <w:lang w:eastAsia="es-MX"/>
              </w:rPr>
              <w:t>[</w:t>
            </w:r>
            <w:r w:rsidRPr="002F5C66">
              <w:rPr>
                <w:rFonts w:ascii="Times New Roman" w:eastAsia="Times New Roman" w:hAnsi="Times New Roman" w:cs="Times New Roman"/>
                <w:i/>
                <w:iCs/>
                <w:sz w:val="18"/>
                <w:szCs w:val="18"/>
                <w:lang w:eastAsia="es-MX"/>
              </w:rPr>
              <w:t>0.0199</w:t>
            </w:r>
            <w:r>
              <w:rPr>
                <w:rFonts w:ascii="Times New Roman" w:eastAsia="Times New Roman" w:hAnsi="Times New Roman" w:cs="Times New Roman"/>
                <w:i/>
                <w:iCs/>
                <w:sz w:val="18"/>
                <w:szCs w:val="18"/>
                <w:lang w:eastAsia="es-MX"/>
              </w:rPr>
              <w:t>]</w:t>
            </w:r>
          </w:p>
        </w:tc>
        <w:tc>
          <w:tcPr>
            <w:tcW w:w="850" w:type="dxa"/>
            <w:tcBorders>
              <w:top w:val="single" w:sz="4" w:space="0" w:color="auto"/>
            </w:tcBorders>
            <w:vAlign w:val="center"/>
          </w:tcPr>
          <w:p w14:paraId="60842760" w14:textId="620E6FB5"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 xml:space="preserve">-3.750 </w:t>
            </w:r>
            <w:r>
              <w:rPr>
                <w:rFonts w:ascii="Times New Roman" w:eastAsia="Times New Roman" w:hAnsi="Times New Roman" w:cs="Times New Roman"/>
                <w:i/>
                <w:iCs/>
                <w:sz w:val="18"/>
                <w:szCs w:val="18"/>
                <w:lang w:eastAsia="es-MX"/>
              </w:rPr>
              <w:t>[</w:t>
            </w:r>
            <w:r w:rsidRPr="002F5C66">
              <w:rPr>
                <w:rFonts w:ascii="Times New Roman" w:eastAsia="Times New Roman" w:hAnsi="Times New Roman" w:cs="Times New Roman"/>
                <w:i/>
                <w:iCs/>
                <w:sz w:val="18"/>
                <w:szCs w:val="18"/>
                <w:lang w:eastAsia="es-MX"/>
              </w:rPr>
              <w:t>0.0192</w:t>
            </w:r>
            <w:r>
              <w:rPr>
                <w:rFonts w:ascii="Times New Roman" w:eastAsia="Times New Roman" w:hAnsi="Times New Roman" w:cs="Times New Roman"/>
                <w:i/>
                <w:iCs/>
                <w:sz w:val="18"/>
                <w:szCs w:val="18"/>
                <w:lang w:eastAsia="es-MX"/>
              </w:rPr>
              <w:t>]</w:t>
            </w:r>
          </w:p>
        </w:tc>
        <w:tc>
          <w:tcPr>
            <w:tcW w:w="850" w:type="dxa"/>
            <w:tcBorders>
              <w:top w:val="single" w:sz="4" w:space="0" w:color="auto"/>
            </w:tcBorders>
            <w:vAlign w:val="center"/>
          </w:tcPr>
          <w:p w14:paraId="47206DF4" w14:textId="42C05591"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-1.682</w:t>
            </w:r>
          </w:p>
        </w:tc>
        <w:tc>
          <w:tcPr>
            <w:tcW w:w="850" w:type="dxa"/>
            <w:tcBorders>
              <w:top w:val="single" w:sz="4" w:space="0" w:color="auto"/>
            </w:tcBorders>
            <w:vAlign w:val="center"/>
          </w:tcPr>
          <w:p w14:paraId="76F96C7D"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-3.207</w:t>
            </w:r>
          </w:p>
          <w:p w14:paraId="51287026" w14:textId="0757BC4F"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F5C66">
              <w:rPr>
                <w:rFonts w:ascii="Times New Roman" w:eastAsia="Times New Roman" w:hAnsi="Times New Roman" w:cs="Times New Roman"/>
                <w:i/>
                <w:iCs/>
                <w:sz w:val="18"/>
                <w:szCs w:val="18"/>
                <w:lang w:eastAsia="es-MX"/>
              </w:rPr>
              <w:t>0.0196</w:t>
            </w:r>
            <w:r>
              <w:rPr>
                <w:rFonts w:ascii="Times New Roman" w:eastAsia="Times New Roman" w:hAnsi="Times New Roman" w:cs="Times New Roman"/>
                <w:i/>
                <w:iCs/>
                <w:sz w:val="18"/>
                <w:szCs w:val="18"/>
                <w:lang w:eastAsia="es-MX"/>
              </w:rPr>
              <w:t>]</w:t>
            </w:r>
          </w:p>
        </w:tc>
        <w:tc>
          <w:tcPr>
            <w:tcW w:w="850" w:type="dxa"/>
            <w:tcBorders>
              <w:top w:val="single" w:sz="4" w:space="0" w:color="auto"/>
            </w:tcBorders>
            <w:vAlign w:val="center"/>
          </w:tcPr>
          <w:p w14:paraId="64F29534"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-3.368</w:t>
            </w:r>
          </w:p>
          <w:p w14:paraId="62A75A1B" w14:textId="0E5D63CD"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F5C66">
              <w:rPr>
                <w:rFonts w:ascii="Times New Roman" w:eastAsia="Times New Roman" w:hAnsi="Times New Roman" w:cs="Times New Roman"/>
                <w:i/>
                <w:iCs/>
                <w:sz w:val="18"/>
                <w:szCs w:val="18"/>
                <w:lang w:eastAsia="es-MX"/>
              </w:rPr>
              <w:t>0.0558</w:t>
            </w:r>
            <w:r>
              <w:rPr>
                <w:rFonts w:ascii="Times New Roman" w:eastAsia="Times New Roman" w:hAnsi="Times New Roman" w:cs="Times New Roman"/>
                <w:i/>
                <w:iCs/>
                <w:sz w:val="18"/>
                <w:szCs w:val="18"/>
                <w:lang w:eastAsia="es-MX"/>
              </w:rPr>
              <w:t>]</w:t>
            </w:r>
          </w:p>
        </w:tc>
        <w:tc>
          <w:tcPr>
            <w:tcW w:w="737" w:type="dxa"/>
            <w:tcBorders>
              <w:top w:val="single" w:sz="4" w:space="0" w:color="auto"/>
            </w:tcBorders>
            <w:vAlign w:val="center"/>
          </w:tcPr>
          <w:p w14:paraId="1D17220D" w14:textId="2E5BC8A1" w:rsidR="00F35446" w:rsidRDefault="00F35446"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6</w:t>
            </w:r>
          </w:p>
        </w:tc>
        <w:tc>
          <w:tcPr>
            <w:tcW w:w="907" w:type="dxa"/>
            <w:tcBorders>
              <w:top w:val="single" w:sz="4" w:space="0" w:color="auto"/>
            </w:tcBorders>
            <w:vAlign w:val="center"/>
          </w:tcPr>
          <w:p w14:paraId="0A519121" w14:textId="2F16E9E1"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1DC417D4" w14:textId="76394307" w:rsidTr="00267532">
        <w:trPr>
          <w:trHeight w:val="283"/>
          <w:jc w:val="center"/>
        </w:trPr>
        <w:tc>
          <w:tcPr>
            <w:tcW w:w="1415" w:type="dxa"/>
            <w:vAlign w:val="center"/>
          </w:tcPr>
          <w:p w14:paraId="1343E594" w14:textId="06B54358"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lny</w:t>
            </w:r>
            <w:proofErr w:type="spellEnd"/>
          </w:p>
        </w:tc>
        <w:tc>
          <w:tcPr>
            <w:tcW w:w="850" w:type="dxa"/>
            <w:shd w:val="clear" w:color="auto" w:fill="auto"/>
            <w:noWrap/>
            <w:vAlign w:val="center"/>
          </w:tcPr>
          <w:p w14:paraId="776C7AE4" w14:textId="2087803A"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2.427</w:t>
            </w:r>
          </w:p>
        </w:tc>
        <w:tc>
          <w:tcPr>
            <w:tcW w:w="849" w:type="dxa"/>
            <w:vAlign w:val="center"/>
          </w:tcPr>
          <w:p w14:paraId="7C96DCC0"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-1.286</w:t>
            </w:r>
          </w:p>
          <w:p w14:paraId="10FFF447" w14:textId="0BACD08F"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0.6358</w:t>
            </w:r>
            <w:r>
              <w:rPr>
                <w:rFonts w:ascii="Times New Roman" w:eastAsia="Times New Roman" w:hAnsi="Times New Roman" w:cs="Times New Roman"/>
                <w:i/>
                <w:iCs/>
                <w:sz w:val="18"/>
                <w:szCs w:val="18"/>
                <w:lang w:eastAsia="es-MX"/>
              </w:rPr>
              <w:t>]</w:t>
            </w:r>
          </w:p>
        </w:tc>
        <w:tc>
          <w:tcPr>
            <w:tcW w:w="850" w:type="dxa"/>
            <w:vAlign w:val="center"/>
          </w:tcPr>
          <w:p w14:paraId="6922BB20"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-1.905</w:t>
            </w:r>
          </w:p>
          <w:p w14:paraId="726B532A" w14:textId="2B58BF7B"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0.6521</w:t>
            </w:r>
            <w:r>
              <w:rPr>
                <w:rFonts w:ascii="Times New Roman" w:eastAsia="Times New Roman" w:hAnsi="Times New Roman" w:cs="Times New Roman"/>
                <w:i/>
                <w:iCs/>
                <w:sz w:val="18"/>
                <w:szCs w:val="18"/>
                <w:lang w:eastAsia="es-MX"/>
              </w:rPr>
              <w:t>]</w:t>
            </w:r>
          </w:p>
        </w:tc>
        <w:tc>
          <w:tcPr>
            <w:tcW w:w="850" w:type="dxa"/>
            <w:vAlign w:val="center"/>
          </w:tcPr>
          <w:p w14:paraId="6EE28A29" w14:textId="1B204B38"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3.152</w:t>
            </w:r>
          </w:p>
        </w:tc>
        <w:tc>
          <w:tcPr>
            <w:tcW w:w="850" w:type="dxa"/>
            <w:vAlign w:val="center"/>
          </w:tcPr>
          <w:p w14:paraId="6B3828C6"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-0.996</w:t>
            </w:r>
          </w:p>
          <w:p w14:paraId="56D12525" w14:textId="7037F9A3"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0.7547</w:t>
            </w:r>
            <w:r>
              <w:rPr>
                <w:rFonts w:ascii="Times New Roman" w:eastAsia="Times New Roman" w:hAnsi="Times New Roman" w:cs="Times New Roman"/>
                <w:i/>
                <w:iCs/>
                <w:sz w:val="18"/>
                <w:szCs w:val="18"/>
                <w:lang w:eastAsia="es-MX"/>
              </w:rPr>
              <w:t>]</w:t>
            </w:r>
          </w:p>
        </w:tc>
        <w:tc>
          <w:tcPr>
            <w:tcW w:w="850" w:type="dxa"/>
            <w:vAlign w:val="center"/>
          </w:tcPr>
          <w:p w14:paraId="7B82754C"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-2.674</w:t>
            </w:r>
          </w:p>
          <w:p w14:paraId="1C0D223F" w14:textId="006F550F"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0.2469</w:t>
            </w:r>
            <w:r>
              <w:rPr>
                <w:rFonts w:ascii="Times New Roman" w:eastAsia="Times New Roman" w:hAnsi="Times New Roman" w:cs="Times New Roman"/>
                <w:i/>
                <w:iCs/>
                <w:sz w:val="18"/>
                <w:szCs w:val="18"/>
                <w:lang w:eastAsia="es-MX"/>
              </w:rPr>
              <w:t>]</w:t>
            </w:r>
          </w:p>
        </w:tc>
        <w:tc>
          <w:tcPr>
            <w:tcW w:w="737" w:type="dxa"/>
            <w:vAlign w:val="center"/>
          </w:tcPr>
          <w:p w14:paraId="65685509" w14:textId="4A1ECA09" w:rsidR="00F35446" w:rsidRPr="00E53A29" w:rsidRDefault="00F35446"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2</w:t>
            </w:r>
          </w:p>
        </w:tc>
        <w:tc>
          <w:tcPr>
            <w:tcW w:w="907" w:type="dxa"/>
            <w:vAlign w:val="center"/>
          </w:tcPr>
          <w:p w14:paraId="0DCD4B8C" w14:textId="6A6473BA" w:rsidR="00F35446" w:rsidRPr="00E53A29" w:rsidRDefault="00BE520D"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5725F940" w14:textId="17D7F1D5" w:rsidTr="00267532">
        <w:trPr>
          <w:trHeight w:val="283"/>
          <w:jc w:val="center"/>
        </w:trPr>
        <w:tc>
          <w:tcPr>
            <w:tcW w:w="1415" w:type="dxa"/>
            <w:vAlign w:val="center"/>
          </w:tcPr>
          <w:p w14:paraId="3E76927B" w14:textId="4C24AC39"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lndeuda</w:t>
            </w:r>
            <w:proofErr w:type="spellEnd"/>
          </w:p>
        </w:tc>
        <w:tc>
          <w:tcPr>
            <w:tcW w:w="850" w:type="dxa"/>
            <w:shd w:val="clear" w:color="auto" w:fill="auto"/>
            <w:noWrap/>
            <w:vAlign w:val="center"/>
          </w:tcPr>
          <w:p w14:paraId="623BEC9B" w14:textId="36F58EBD"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4.668</w:t>
            </w:r>
          </w:p>
        </w:tc>
        <w:tc>
          <w:tcPr>
            <w:tcW w:w="849" w:type="dxa"/>
            <w:vAlign w:val="center"/>
          </w:tcPr>
          <w:p w14:paraId="3C099C14" w14:textId="49D788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0.00</w:t>
            </w:r>
            <w:r>
              <w:rPr>
                <w:rFonts w:ascii="Times New Roman" w:eastAsia="Times New Roman" w:hAnsi="Times New Roman" w:cs="Times New Roman"/>
                <w:i/>
                <w:iCs/>
                <w:sz w:val="18"/>
                <w:szCs w:val="18"/>
                <w:lang w:eastAsia="es-MX"/>
              </w:rPr>
              <w:t>1</w:t>
            </w:r>
          </w:p>
          <w:p w14:paraId="44E9DF7F" w14:textId="0A119076"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0.9586</w:t>
            </w:r>
            <w:r>
              <w:rPr>
                <w:rFonts w:ascii="Times New Roman" w:eastAsia="Times New Roman" w:hAnsi="Times New Roman" w:cs="Times New Roman"/>
                <w:i/>
                <w:iCs/>
                <w:sz w:val="18"/>
                <w:szCs w:val="18"/>
                <w:lang w:eastAsia="es-MX"/>
              </w:rPr>
              <w:t>]</w:t>
            </w:r>
          </w:p>
        </w:tc>
        <w:tc>
          <w:tcPr>
            <w:tcW w:w="850" w:type="dxa"/>
            <w:vAlign w:val="center"/>
          </w:tcPr>
          <w:p w14:paraId="3E571CDA"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-1.733</w:t>
            </w:r>
          </w:p>
          <w:p w14:paraId="4C3B7CB8" w14:textId="1821DFBD"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0.7360</w:t>
            </w:r>
            <w:r>
              <w:rPr>
                <w:rFonts w:ascii="Times New Roman" w:eastAsia="Times New Roman" w:hAnsi="Times New Roman" w:cs="Times New Roman"/>
                <w:i/>
                <w:iCs/>
                <w:sz w:val="18"/>
                <w:szCs w:val="18"/>
                <w:lang w:eastAsia="es-MX"/>
              </w:rPr>
              <w:t>]</w:t>
            </w:r>
          </w:p>
        </w:tc>
        <w:tc>
          <w:tcPr>
            <w:tcW w:w="850" w:type="dxa"/>
            <w:vAlign w:val="center"/>
          </w:tcPr>
          <w:p w14:paraId="0E7159C3" w14:textId="753F3B5F"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5.957</w:t>
            </w:r>
          </w:p>
        </w:tc>
        <w:tc>
          <w:tcPr>
            <w:tcW w:w="850" w:type="dxa"/>
            <w:vAlign w:val="center"/>
          </w:tcPr>
          <w:p w14:paraId="60D794F1"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0.051</w:t>
            </w:r>
          </w:p>
          <w:p w14:paraId="5A314F7B" w14:textId="4997CA20"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0.9625</w:t>
            </w:r>
            <w:r>
              <w:rPr>
                <w:rFonts w:ascii="Times New Roman" w:eastAsia="Times New Roman" w:hAnsi="Times New Roman" w:cs="Times New Roman"/>
                <w:i/>
                <w:iCs/>
                <w:sz w:val="18"/>
                <w:szCs w:val="18"/>
                <w:lang w:eastAsia="es-MX"/>
              </w:rPr>
              <w:t>]</w:t>
            </w:r>
          </w:p>
        </w:tc>
        <w:tc>
          <w:tcPr>
            <w:tcW w:w="850" w:type="dxa"/>
            <w:vAlign w:val="center"/>
          </w:tcPr>
          <w:p w14:paraId="02333B65"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-1.667</w:t>
            </w:r>
          </w:p>
          <w:p w14:paraId="5251E2AC" w14:textId="55A590D1"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0.7650</w:t>
            </w:r>
            <w:r>
              <w:rPr>
                <w:rFonts w:ascii="Times New Roman" w:eastAsia="Times New Roman" w:hAnsi="Times New Roman" w:cs="Times New Roman"/>
                <w:i/>
                <w:iCs/>
                <w:sz w:val="18"/>
                <w:szCs w:val="18"/>
                <w:lang w:eastAsia="es-MX"/>
              </w:rPr>
              <w:t>]</w:t>
            </w:r>
          </w:p>
        </w:tc>
        <w:tc>
          <w:tcPr>
            <w:tcW w:w="737" w:type="dxa"/>
            <w:vAlign w:val="center"/>
          </w:tcPr>
          <w:p w14:paraId="1B96E66C" w14:textId="0571C5E0" w:rsidR="00F35446" w:rsidRPr="00E53A29" w:rsidRDefault="00F35446"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1</w:t>
            </w:r>
          </w:p>
        </w:tc>
        <w:tc>
          <w:tcPr>
            <w:tcW w:w="907" w:type="dxa"/>
            <w:vAlign w:val="center"/>
          </w:tcPr>
          <w:p w14:paraId="52654627" w14:textId="2AB8898D" w:rsidR="00F35446" w:rsidRPr="00E53A29" w:rsidRDefault="00BE520D"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729F0047" w14:textId="124134D7" w:rsidTr="00267532">
        <w:trPr>
          <w:trHeight w:val="283"/>
          <w:jc w:val="center"/>
        </w:trPr>
        <w:tc>
          <w:tcPr>
            <w:tcW w:w="1415" w:type="dxa"/>
            <w:vAlign w:val="center"/>
          </w:tcPr>
          <w:p w14:paraId="1E2D438D" w14:textId="5C8DAC78"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lnib</w:t>
            </w:r>
            <w:proofErr w:type="spellEnd"/>
          </w:p>
        </w:tc>
        <w:tc>
          <w:tcPr>
            <w:tcW w:w="850" w:type="dxa"/>
            <w:shd w:val="clear" w:color="auto" w:fill="auto"/>
            <w:noWrap/>
            <w:vAlign w:val="center"/>
          </w:tcPr>
          <w:p w14:paraId="06EA2C45" w14:textId="4ED6299A"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1.429</w:t>
            </w:r>
          </w:p>
        </w:tc>
        <w:tc>
          <w:tcPr>
            <w:tcW w:w="849" w:type="dxa"/>
            <w:vAlign w:val="center"/>
          </w:tcPr>
          <w:p w14:paraId="667A281E"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0.600</w:t>
            </w:r>
          </w:p>
          <w:p w14:paraId="59EE3FC8" w14:textId="6C8CA6E4"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0.9876</w:t>
            </w:r>
            <w:r>
              <w:rPr>
                <w:rFonts w:ascii="Times New Roman" w:eastAsia="Times New Roman" w:hAnsi="Times New Roman" w:cs="Times New Roman"/>
                <w:i/>
                <w:iCs/>
                <w:sz w:val="18"/>
                <w:szCs w:val="18"/>
                <w:lang w:eastAsia="es-MX"/>
              </w:rPr>
              <w:t>]</w:t>
            </w:r>
          </w:p>
        </w:tc>
        <w:tc>
          <w:tcPr>
            <w:tcW w:w="850" w:type="dxa"/>
            <w:vAlign w:val="center"/>
          </w:tcPr>
          <w:p w14:paraId="220B4929"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-3.051</w:t>
            </w:r>
          </w:p>
          <w:p w14:paraId="43523569" w14:textId="61B491A5"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0.1185</w:t>
            </w:r>
            <w:r>
              <w:rPr>
                <w:rFonts w:ascii="Times New Roman" w:eastAsia="Times New Roman" w:hAnsi="Times New Roman" w:cs="Times New Roman"/>
                <w:i/>
                <w:iCs/>
                <w:sz w:val="18"/>
                <w:szCs w:val="18"/>
                <w:lang w:eastAsia="es-MX"/>
              </w:rPr>
              <w:t>]</w:t>
            </w:r>
          </w:p>
        </w:tc>
        <w:tc>
          <w:tcPr>
            <w:tcW w:w="850" w:type="dxa"/>
            <w:vAlign w:val="center"/>
          </w:tcPr>
          <w:p w14:paraId="21A7943A" w14:textId="08D57F34"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1.426</w:t>
            </w:r>
          </w:p>
        </w:tc>
        <w:tc>
          <w:tcPr>
            <w:tcW w:w="850" w:type="dxa"/>
            <w:vAlign w:val="center"/>
          </w:tcPr>
          <w:p w14:paraId="1BEC20CE"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0.768</w:t>
            </w:r>
          </w:p>
          <w:p w14:paraId="457CBB3A" w14:textId="0AABB823"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0.9911</w:t>
            </w:r>
            <w:r>
              <w:rPr>
                <w:rFonts w:ascii="Times New Roman" w:eastAsia="Times New Roman" w:hAnsi="Times New Roman" w:cs="Times New Roman"/>
                <w:i/>
                <w:iCs/>
                <w:sz w:val="18"/>
                <w:szCs w:val="18"/>
                <w:lang w:eastAsia="es-MX"/>
              </w:rPr>
              <w:t>]</w:t>
            </w:r>
          </w:p>
        </w:tc>
        <w:tc>
          <w:tcPr>
            <w:tcW w:w="850" w:type="dxa"/>
            <w:vAlign w:val="center"/>
          </w:tcPr>
          <w:p w14:paraId="23341BE5"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-3.470</w:t>
            </w:r>
          </w:p>
          <w:p w14:paraId="6819F2EB" w14:textId="5EC9A9BC"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0.0427</w:t>
            </w:r>
            <w:r>
              <w:rPr>
                <w:rFonts w:ascii="Times New Roman" w:eastAsia="Times New Roman" w:hAnsi="Times New Roman" w:cs="Times New Roman"/>
                <w:i/>
                <w:iCs/>
                <w:sz w:val="18"/>
                <w:szCs w:val="18"/>
                <w:lang w:eastAsia="es-MX"/>
              </w:rPr>
              <w:t>]</w:t>
            </w:r>
          </w:p>
        </w:tc>
        <w:tc>
          <w:tcPr>
            <w:tcW w:w="737" w:type="dxa"/>
            <w:vAlign w:val="center"/>
          </w:tcPr>
          <w:p w14:paraId="6E20D23F" w14:textId="4AC1C8B7" w:rsidR="00F35446" w:rsidRPr="00E53A29" w:rsidRDefault="00A00393"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2</w:t>
            </w:r>
          </w:p>
        </w:tc>
        <w:tc>
          <w:tcPr>
            <w:tcW w:w="907" w:type="dxa"/>
            <w:vAlign w:val="center"/>
          </w:tcPr>
          <w:p w14:paraId="6A94DA72" w14:textId="0553FD98"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5F926A9B" w14:textId="6B8D260C" w:rsidTr="00267532">
        <w:trPr>
          <w:trHeight w:val="283"/>
          <w:jc w:val="center"/>
        </w:trPr>
        <w:tc>
          <w:tcPr>
            <w:tcW w:w="1415" w:type="dxa"/>
            <w:vAlign w:val="center"/>
          </w:tcPr>
          <w:p w14:paraId="16F28C4B" w14:textId="2FA0A0DF"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lnm</w:t>
            </w:r>
            <w:proofErr w:type="spellEnd"/>
          </w:p>
        </w:tc>
        <w:tc>
          <w:tcPr>
            <w:tcW w:w="850" w:type="dxa"/>
            <w:shd w:val="clear" w:color="auto" w:fill="auto"/>
            <w:noWrap/>
            <w:vAlign w:val="center"/>
          </w:tcPr>
          <w:p w14:paraId="52ECCC2F" w14:textId="6CC33160"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2.556</w:t>
            </w:r>
          </w:p>
        </w:tc>
        <w:tc>
          <w:tcPr>
            <w:tcW w:w="849" w:type="dxa"/>
            <w:vAlign w:val="center"/>
          </w:tcPr>
          <w:p w14:paraId="77360A27"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1.598</w:t>
            </w:r>
          </w:p>
          <w:p w14:paraId="573B917F" w14:textId="20D09E6B"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0.9979</w:t>
            </w:r>
            <w:r>
              <w:rPr>
                <w:rFonts w:ascii="Times New Roman" w:eastAsia="Times New Roman" w:hAnsi="Times New Roman" w:cs="Times New Roman"/>
                <w:i/>
                <w:iCs/>
                <w:sz w:val="18"/>
                <w:szCs w:val="18"/>
                <w:lang w:eastAsia="es-MX"/>
              </w:rPr>
              <w:t>]</w:t>
            </w:r>
          </w:p>
        </w:tc>
        <w:tc>
          <w:tcPr>
            <w:tcW w:w="850" w:type="dxa"/>
            <w:vAlign w:val="center"/>
          </w:tcPr>
          <w:p w14:paraId="45A67F4A"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-0.837</w:t>
            </w:r>
          </w:p>
          <w:p w14:paraId="4776D4B7" w14:textId="5816C819"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0.9624</w:t>
            </w:r>
            <w:r>
              <w:rPr>
                <w:rFonts w:ascii="Times New Roman" w:eastAsia="Times New Roman" w:hAnsi="Times New Roman" w:cs="Times New Roman"/>
                <w:i/>
                <w:iCs/>
                <w:sz w:val="18"/>
                <w:szCs w:val="18"/>
                <w:lang w:eastAsia="es-MX"/>
              </w:rPr>
              <w:t>]</w:t>
            </w:r>
          </w:p>
        </w:tc>
        <w:tc>
          <w:tcPr>
            <w:tcW w:w="850" w:type="dxa"/>
            <w:vAlign w:val="center"/>
          </w:tcPr>
          <w:p w14:paraId="30962906" w14:textId="285D172C"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3.741</w:t>
            </w:r>
          </w:p>
        </w:tc>
        <w:tc>
          <w:tcPr>
            <w:tcW w:w="850" w:type="dxa"/>
            <w:vAlign w:val="center"/>
          </w:tcPr>
          <w:p w14:paraId="390CA85D"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2.047</w:t>
            </w:r>
          </w:p>
          <w:p w14:paraId="50261E2D" w14:textId="4C09BA63"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0.9987</w:t>
            </w:r>
            <w:r>
              <w:rPr>
                <w:rFonts w:ascii="Times New Roman" w:eastAsia="Times New Roman" w:hAnsi="Times New Roman" w:cs="Times New Roman"/>
                <w:i/>
                <w:iCs/>
                <w:sz w:val="18"/>
                <w:szCs w:val="18"/>
                <w:lang w:eastAsia="es-MX"/>
              </w:rPr>
              <w:t>]</w:t>
            </w:r>
          </w:p>
        </w:tc>
        <w:tc>
          <w:tcPr>
            <w:tcW w:w="850" w:type="dxa"/>
            <w:vAlign w:val="center"/>
          </w:tcPr>
          <w:p w14:paraId="7553BDFF"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-0.669</w:t>
            </w:r>
          </w:p>
          <w:p w14:paraId="1175E8A5" w14:textId="46A905E6"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0.9751</w:t>
            </w:r>
            <w:r>
              <w:rPr>
                <w:rFonts w:ascii="Times New Roman" w:eastAsia="Times New Roman" w:hAnsi="Times New Roman" w:cs="Times New Roman"/>
                <w:i/>
                <w:iCs/>
                <w:sz w:val="18"/>
                <w:szCs w:val="18"/>
                <w:lang w:eastAsia="es-MX"/>
              </w:rPr>
              <w:t>]</w:t>
            </w:r>
          </w:p>
        </w:tc>
        <w:tc>
          <w:tcPr>
            <w:tcW w:w="737" w:type="dxa"/>
            <w:vAlign w:val="center"/>
          </w:tcPr>
          <w:p w14:paraId="2503532D" w14:textId="5D5433DA" w:rsidR="00F35446" w:rsidRPr="00E53A29" w:rsidRDefault="00A00393"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2</w:t>
            </w:r>
          </w:p>
        </w:tc>
        <w:tc>
          <w:tcPr>
            <w:tcW w:w="907" w:type="dxa"/>
            <w:vAlign w:val="center"/>
          </w:tcPr>
          <w:p w14:paraId="20F98403" w14:textId="023465CC"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2B8200DA" w14:textId="1F4A1F10" w:rsidTr="00267532">
        <w:trPr>
          <w:trHeight w:val="283"/>
          <w:jc w:val="center"/>
        </w:trPr>
        <w:tc>
          <w:tcPr>
            <w:tcW w:w="1415" w:type="dxa"/>
            <w:vAlign w:val="center"/>
          </w:tcPr>
          <w:p w14:paraId="0D68A2CD" w14:textId="0441142D"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lne</w:t>
            </w:r>
            <w:proofErr w:type="spellEnd"/>
          </w:p>
        </w:tc>
        <w:tc>
          <w:tcPr>
            <w:tcW w:w="850" w:type="dxa"/>
            <w:shd w:val="clear" w:color="auto" w:fill="auto"/>
            <w:noWrap/>
            <w:vAlign w:val="center"/>
          </w:tcPr>
          <w:p w14:paraId="0B657595" w14:textId="31D54B2E" w:rsidR="00F35446"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-0.595</w:t>
            </w:r>
          </w:p>
        </w:tc>
        <w:tc>
          <w:tcPr>
            <w:tcW w:w="849" w:type="dxa"/>
            <w:vAlign w:val="center"/>
          </w:tcPr>
          <w:p w14:paraId="1DB6B8D4"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-1.966</w:t>
            </w:r>
          </w:p>
          <w:p w14:paraId="59748DAE" w14:textId="2BDB6F45"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0.3018</w:t>
            </w:r>
            <w:r>
              <w:rPr>
                <w:rFonts w:ascii="Times New Roman" w:eastAsia="Times New Roman" w:hAnsi="Times New Roman" w:cs="Times New Roman"/>
                <w:i/>
                <w:iCs/>
                <w:sz w:val="18"/>
                <w:szCs w:val="18"/>
                <w:lang w:eastAsia="es-MX"/>
              </w:rPr>
              <w:t>]</w:t>
            </w:r>
          </w:p>
        </w:tc>
        <w:tc>
          <w:tcPr>
            <w:tcW w:w="850" w:type="dxa"/>
            <w:vAlign w:val="center"/>
          </w:tcPr>
          <w:p w14:paraId="1657F8E4"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-1.633</w:t>
            </w:r>
          </w:p>
          <w:p w14:paraId="74D82A01" w14:textId="441E3513"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0.7793</w:t>
            </w:r>
            <w:r>
              <w:rPr>
                <w:rFonts w:ascii="Times New Roman" w:eastAsia="Times New Roman" w:hAnsi="Times New Roman" w:cs="Times New Roman"/>
                <w:i/>
                <w:iCs/>
                <w:sz w:val="18"/>
                <w:szCs w:val="18"/>
                <w:lang w:eastAsia="es-MX"/>
              </w:rPr>
              <w:t>]</w:t>
            </w:r>
          </w:p>
        </w:tc>
        <w:tc>
          <w:tcPr>
            <w:tcW w:w="850" w:type="dxa"/>
            <w:vAlign w:val="center"/>
          </w:tcPr>
          <w:p w14:paraId="0F6D4862" w14:textId="3991251D" w:rsidR="00F35446"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-0.538</w:t>
            </w:r>
          </w:p>
        </w:tc>
        <w:tc>
          <w:tcPr>
            <w:tcW w:w="850" w:type="dxa"/>
            <w:vAlign w:val="center"/>
          </w:tcPr>
          <w:p w14:paraId="7E7D68CE"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-1.899</w:t>
            </w:r>
          </w:p>
          <w:p w14:paraId="4E5A0329" w14:textId="543AA618"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0.3324</w:t>
            </w:r>
            <w:r>
              <w:rPr>
                <w:rFonts w:ascii="Times New Roman" w:eastAsia="Times New Roman" w:hAnsi="Times New Roman" w:cs="Times New Roman"/>
                <w:i/>
                <w:iCs/>
                <w:sz w:val="18"/>
                <w:szCs w:val="18"/>
                <w:lang w:eastAsia="es-MX"/>
              </w:rPr>
              <w:t>]</w:t>
            </w:r>
          </w:p>
        </w:tc>
        <w:tc>
          <w:tcPr>
            <w:tcW w:w="850" w:type="dxa"/>
            <w:vAlign w:val="center"/>
          </w:tcPr>
          <w:p w14:paraId="310E934B"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-1.596</w:t>
            </w:r>
          </w:p>
          <w:p w14:paraId="5FB03C30" w14:textId="0AAD5506"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0.7938</w:t>
            </w:r>
            <w:r>
              <w:rPr>
                <w:rFonts w:ascii="Times New Roman" w:eastAsia="Times New Roman" w:hAnsi="Times New Roman" w:cs="Times New Roman"/>
                <w:i/>
                <w:iCs/>
                <w:sz w:val="18"/>
                <w:szCs w:val="18"/>
                <w:lang w:eastAsia="es-MX"/>
              </w:rPr>
              <w:t>]</w:t>
            </w:r>
          </w:p>
        </w:tc>
        <w:tc>
          <w:tcPr>
            <w:tcW w:w="737" w:type="dxa"/>
            <w:vAlign w:val="center"/>
          </w:tcPr>
          <w:p w14:paraId="49917286" w14:textId="36A37077" w:rsidR="00F35446" w:rsidRPr="00E53A29" w:rsidRDefault="00E34EA1"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3</w:t>
            </w:r>
          </w:p>
        </w:tc>
        <w:tc>
          <w:tcPr>
            <w:tcW w:w="907" w:type="dxa"/>
            <w:vAlign w:val="center"/>
          </w:tcPr>
          <w:p w14:paraId="79967696" w14:textId="2F31F1B7"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4EDF4C58" w14:textId="1C50472A" w:rsidTr="00267532">
        <w:trPr>
          <w:trHeight w:val="283"/>
          <w:jc w:val="center"/>
        </w:trPr>
        <w:tc>
          <w:tcPr>
            <w:tcW w:w="1415" w:type="dxa"/>
            <w:vAlign w:val="center"/>
          </w:tcPr>
          <w:p w14:paraId="10B70BA9" w14:textId="3DD84B8E"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lni</w:t>
            </w:r>
            <w:proofErr w:type="spellEnd"/>
          </w:p>
        </w:tc>
        <w:tc>
          <w:tcPr>
            <w:tcW w:w="850" w:type="dxa"/>
            <w:shd w:val="clear" w:color="auto" w:fill="auto"/>
            <w:noWrap/>
            <w:vAlign w:val="center"/>
          </w:tcPr>
          <w:p w14:paraId="5D1D1653" w14:textId="2EB4E41E"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-2.967</w:t>
            </w:r>
          </w:p>
        </w:tc>
        <w:tc>
          <w:tcPr>
            <w:tcW w:w="849" w:type="dxa"/>
            <w:vAlign w:val="center"/>
          </w:tcPr>
          <w:p w14:paraId="558C1050"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-3.520</w:t>
            </w:r>
          </w:p>
          <w:p w14:paraId="3B1F10D8" w14:textId="17D8B495"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0.0075</w:t>
            </w:r>
            <w:r>
              <w:rPr>
                <w:rFonts w:ascii="Times New Roman" w:eastAsia="Times New Roman" w:hAnsi="Times New Roman" w:cs="Times New Roman"/>
                <w:i/>
                <w:iCs/>
                <w:sz w:val="18"/>
                <w:szCs w:val="18"/>
                <w:lang w:eastAsia="es-MX"/>
              </w:rPr>
              <w:t>]</w:t>
            </w:r>
          </w:p>
        </w:tc>
        <w:tc>
          <w:tcPr>
            <w:tcW w:w="850" w:type="dxa"/>
            <w:vAlign w:val="center"/>
          </w:tcPr>
          <w:p w14:paraId="5977DAD7"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-3.814</w:t>
            </w:r>
          </w:p>
          <w:p w14:paraId="09E15B89" w14:textId="24A2575C"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0.0159</w:t>
            </w:r>
            <w:r>
              <w:rPr>
                <w:rFonts w:ascii="Times New Roman" w:eastAsia="Times New Roman" w:hAnsi="Times New Roman" w:cs="Times New Roman"/>
                <w:i/>
                <w:iCs/>
                <w:sz w:val="18"/>
                <w:szCs w:val="18"/>
                <w:lang w:eastAsia="es-MX"/>
              </w:rPr>
              <w:t>]</w:t>
            </w:r>
          </w:p>
        </w:tc>
        <w:tc>
          <w:tcPr>
            <w:tcW w:w="850" w:type="dxa"/>
            <w:vAlign w:val="center"/>
          </w:tcPr>
          <w:p w14:paraId="0A53914A" w14:textId="4C3E6B31"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-2.825</w:t>
            </w:r>
          </w:p>
        </w:tc>
        <w:tc>
          <w:tcPr>
            <w:tcW w:w="850" w:type="dxa"/>
            <w:vAlign w:val="center"/>
          </w:tcPr>
          <w:p w14:paraId="198D9391"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-2.937</w:t>
            </w:r>
          </w:p>
          <w:p w14:paraId="78EB9BDD" w14:textId="74BDEAB5"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0.0413</w:t>
            </w:r>
            <w:r>
              <w:rPr>
                <w:rFonts w:ascii="Times New Roman" w:eastAsia="Times New Roman" w:hAnsi="Times New Roman" w:cs="Times New Roman"/>
                <w:i/>
                <w:iCs/>
                <w:sz w:val="18"/>
                <w:szCs w:val="18"/>
                <w:lang w:eastAsia="es-MX"/>
              </w:rPr>
              <w:t>]</w:t>
            </w:r>
          </w:p>
        </w:tc>
        <w:tc>
          <w:tcPr>
            <w:tcW w:w="850" w:type="dxa"/>
            <w:vAlign w:val="center"/>
          </w:tcPr>
          <w:p w14:paraId="4EEEDDB8"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-2.813</w:t>
            </w:r>
          </w:p>
          <w:p w14:paraId="6FB4AD8B" w14:textId="33D23473"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0.1923</w:t>
            </w:r>
            <w:r>
              <w:rPr>
                <w:rFonts w:ascii="Times New Roman" w:eastAsia="Times New Roman" w:hAnsi="Times New Roman" w:cs="Times New Roman"/>
                <w:i/>
                <w:iCs/>
                <w:sz w:val="18"/>
                <w:szCs w:val="18"/>
                <w:lang w:eastAsia="es-MX"/>
              </w:rPr>
              <w:t>]</w:t>
            </w:r>
          </w:p>
        </w:tc>
        <w:tc>
          <w:tcPr>
            <w:tcW w:w="737" w:type="dxa"/>
            <w:vAlign w:val="center"/>
          </w:tcPr>
          <w:p w14:paraId="0D826413" w14:textId="2232E038" w:rsidR="00F35446" w:rsidRPr="00E53A29" w:rsidRDefault="00540EC4"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4</w:t>
            </w:r>
          </w:p>
        </w:tc>
        <w:tc>
          <w:tcPr>
            <w:tcW w:w="907" w:type="dxa"/>
            <w:vAlign w:val="center"/>
          </w:tcPr>
          <w:p w14:paraId="4EC6D4AC" w14:textId="2A12D293"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0C63A51D" w14:textId="3CD9B016" w:rsidTr="00267532">
        <w:trPr>
          <w:trHeight w:val="283"/>
          <w:jc w:val="center"/>
        </w:trPr>
        <w:tc>
          <w:tcPr>
            <w:tcW w:w="1415" w:type="dxa"/>
            <w:vAlign w:val="center"/>
          </w:tcPr>
          <w:p w14:paraId="143AAA61" w14:textId="1D1A6B55"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lnk</w:t>
            </w:r>
            <w:proofErr w:type="spellEnd"/>
          </w:p>
        </w:tc>
        <w:tc>
          <w:tcPr>
            <w:tcW w:w="850" w:type="dxa"/>
            <w:shd w:val="clear" w:color="auto" w:fill="auto"/>
            <w:noWrap/>
            <w:vAlign w:val="center"/>
          </w:tcPr>
          <w:p w14:paraId="4F5CD13D" w14:textId="1646A976" w:rsidR="00F35446"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2.346</w:t>
            </w:r>
          </w:p>
        </w:tc>
        <w:tc>
          <w:tcPr>
            <w:tcW w:w="849" w:type="dxa"/>
            <w:vAlign w:val="center"/>
          </w:tcPr>
          <w:p w14:paraId="157CD3C3"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-2.101</w:t>
            </w:r>
          </w:p>
          <w:p w14:paraId="794EE449" w14:textId="7CC8E62D"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0.2442</w:t>
            </w:r>
            <w:r>
              <w:rPr>
                <w:rFonts w:ascii="Times New Roman" w:eastAsia="Times New Roman" w:hAnsi="Times New Roman" w:cs="Times New Roman"/>
                <w:i/>
                <w:iCs/>
                <w:sz w:val="18"/>
                <w:szCs w:val="18"/>
                <w:lang w:eastAsia="es-MX"/>
              </w:rPr>
              <w:t>]</w:t>
            </w:r>
          </w:p>
        </w:tc>
        <w:tc>
          <w:tcPr>
            <w:tcW w:w="850" w:type="dxa"/>
            <w:vAlign w:val="center"/>
          </w:tcPr>
          <w:p w14:paraId="3F6F1F5E"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-1.487</w:t>
            </w:r>
          </w:p>
          <w:p w14:paraId="6F20A0FE" w14:textId="7BF1A297"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0.8337</w:t>
            </w:r>
            <w:r>
              <w:rPr>
                <w:rFonts w:ascii="Times New Roman" w:eastAsia="Times New Roman" w:hAnsi="Times New Roman" w:cs="Times New Roman"/>
                <w:i/>
                <w:iCs/>
                <w:sz w:val="18"/>
                <w:szCs w:val="18"/>
                <w:lang w:eastAsia="es-MX"/>
              </w:rPr>
              <w:t>]</w:t>
            </w:r>
          </w:p>
        </w:tc>
        <w:tc>
          <w:tcPr>
            <w:tcW w:w="850" w:type="dxa"/>
            <w:vAlign w:val="center"/>
          </w:tcPr>
          <w:p w14:paraId="7A72B2EA" w14:textId="673A7402" w:rsidR="00F35446"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14.365</w:t>
            </w:r>
          </w:p>
        </w:tc>
        <w:tc>
          <w:tcPr>
            <w:tcW w:w="850" w:type="dxa"/>
            <w:vAlign w:val="center"/>
          </w:tcPr>
          <w:p w14:paraId="2A0D0E29"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-2.335</w:t>
            </w:r>
          </w:p>
          <w:p w14:paraId="5761CCF4" w14:textId="47CECA82"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0.1610</w:t>
            </w:r>
            <w:r>
              <w:rPr>
                <w:rFonts w:ascii="Times New Roman" w:eastAsia="Times New Roman" w:hAnsi="Times New Roman" w:cs="Times New Roman"/>
                <w:i/>
                <w:iCs/>
                <w:sz w:val="18"/>
                <w:szCs w:val="18"/>
                <w:lang w:eastAsia="es-MX"/>
              </w:rPr>
              <w:t>]</w:t>
            </w:r>
          </w:p>
        </w:tc>
        <w:tc>
          <w:tcPr>
            <w:tcW w:w="850" w:type="dxa"/>
            <w:vAlign w:val="center"/>
          </w:tcPr>
          <w:p w14:paraId="054AB7FC"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-2.658</w:t>
            </w:r>
          </w:p>
          <w:p w14:paraId="27677ECF" w14:textId="5BCE8074"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0.2539</w:t>
            </w:r>
            <w:r>
              <w:rPr>
                <w:rFonts w:ascii="Times New Roman" w:eastAsia="Times New Roman" w:hAnsi="Times New Roman" w:cs="Times New Roman"/>
                <w:i/>
                <w:iCs/>
                <w:sz w:val="18"/>
                <w:szCs w:val="18"/>
                <w:lang w:eastAsia="es-MX"/>
              </w:rPr>
              <w:t>]</w:t>
            </w:r>
          </w:p>
        </w:tc>
        <w:tc>
          <w:tcPr>
            <w:tcW w:w="737" w:type="dxa"/>
            <w:vAlign w:val="center"/>
          </w:tcPr>
          <w:p w14:paraId="3C4D1D6D" w14:textId="661D147C" w:rsidR="00F35446" w:rsidRPr="00E53A29" w:rsidRDefault="00BF05E7"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3</w:t>
            </w:r>
          </w:p>
        </w:tc>
        <w:tc>
          <w:tcPr>
            <w:tcW w:w="907" w:type="dxa"/>
            <w:vAlign w:val="center"/>
          </w:tcPr>
          <w:p w14:paraId="06452186" w14:textId="2F251AC2"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5FA01235" w14:textId="2523C9E1" w:rsidTr="00267532">
        <w:trPr>
          <w:trHeight w:val="283"/>
          <w:jc w:val="center"/>
        </w:trPr>
        <w:tc>
          <w:tcPr>
            <w:tcW w:w="1415" w:type="dxa"/>
            <w:vAlign w:val="center"/>
          </w:tcPr>
          <w:p w14:paraId="0946C479" w14:textId="2F610CCD"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lnpl</w:t>
            </w:r>
            <w:proofErr w:type="spellEnd"/>
          </w:p>
        </w:tc>
        <w:tc>
          <w:tcPr>
            <w:tcW w:w="850" w:type="dxa"/>
            <w:shd w:val="clear" w:color="auto" w:fill="auto"/>
            <w:noWrap/>
            <w:vAlign w:val="center"/>
          </w:tcPr>
          <w:p w14:paraId="5DBDF1A4" w14:textId="30933664" w:rsidR="00F35446" w:rsidRPr="00E53A29" w:rsidRDefault="00267532" w:rsidP="002F5C66">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4.122</w:t>
            </w:r>
          </w:p>
        </w:tc>
        <w:tc>
          <w:tcPr>
            <w:tcW w:w="849" w:type="dxa"/>
            <w:vAlign w:val="center"/>
          </w:tcPr>
          <w:p w14:paraId="03531C53" w14:textId="77777777" w:rsidR="00F35446" w:rsidRDefault="00267532" w:rsidP="002F5C66">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-0.210</w:t>
            </w:r>
          </w:p>
          <w:p w14:paraId="170DDDFF" w14:textId="284095B5" w:rsidR="00267532" w:rsidRPr="00E53A29" w:rsidRDefault="00267532"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67532">
              <w:rPr>
                <w:rFonts w:ascii="Times New Roman" w:eastAsia="Times New Roman" w:hAnsi="Times New Roman" w:cs="Times New Roman"/>
                <w:i/>
                <w:iCs/>
                <w:sz w:val="18"/>
                <w:szCs w:val="18"/>
                <w:lang w:eastAsia="es-MX"/>
              </w:rPr>
              <w:t>0.9373</w:t>
            </w:r>
            <w:r>
              <w:rPr>
                <w:rFonts w:ascii="Times New Roman" w:eastAsia="Times New Roman" w:hAnsi="Times New Roman" w:cs="Times New Roman"/>
                <w:i/>
                <w:iCs/>
                <w:sz w:val="18"/>
                <w:szCs w:val="18"/>
                <w:lang w:eastAsia="es-MX"/>
              </w:rPr>
              <w:t>]</w:t>
            </w:r>
          </w:p>
        </w:tc>
        <w:tc>
          <w:tcPr>
            <w:tcW w:w="850" w:type="dxa"/>
            <w:vAlign w:val="center"/>
          </w:tcPr>
          <w:p w14:paraId="1D347857" w14:textId="77777777" w:rsidR="00F35446" w:rsidRDefault="00267532" w:rsidP="002F5C66">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-2.377</w:t>
            </w:r>
          </w:p>
          <w:p w14:paraId="449C0E97" w14:textId="5C9D4AA5" w:rsidR="00267532" w:rsidRPr="00E53A29" w:rsidRDefault="00267532"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67532">
              <w:rPr>
                <w:rFonts w:ascii="Times New Roman" w:eastAsia="Times New Roman" w:hAnsi="Times New Roman" w:cs="Times New Roman"/>
                <w:i/>
                <w:iCs/>
                <w:sz w:val="18"/>
                <w:szCs w:val="18"/>
                <w:lang w:eastAsia="es-MX"/>
              </w:rPr>
              <w:t>0.3919</w:t>
            </w:r>
            <w:r>
              <w:rPr>
                <w:rFonts w:ascii="Times New Roman" w:eastAsia="Times New Roman" w:hAnsi="Times New Roman" w:cs="Times New Roman"/>
                <w:i/>
                <w:iCs/>
                <w:sz w:val="18"/>
                <w:szCs w:val="18"/>
                <w:lang w:eastAsia="es-MX"/>
              </w:rPr>
              <w:t>]</w:t>
            </w:r>
          </w:p>
        </w:tc>
        <w:tc>
          <w:tcPr>
            <w:tcW w:w="850" w:type="dxa"/>
            <w:vAlign w:val="center"/>
          </w:tcPr>
          <w:p w14:paraId="3C35A7A0" w14:textId="1649BA90" w:rsidR="00F35446" w:rsidRPr="00E53A29" w:rsidRDefault="00267532" w:rsidP="002F5C66">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4.541</w:t>
            </w:r>
          </w:p>
        </w:tc>
        <w:tc>
          <w:tcPr>
            <w:tcW w:w="850" w:type="dxa"/>
            <w:vAlign w:val="center"/>
          </w:tcPr>
          <w:p w14:paraId="41B24632" w14:textId="77777777" w:rsidR="00F35446" w:rsidRDefault="00267532" w:rsidP="002F5C66">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-0.214</w:t>
            </w:r>
          </w:p>
          <w:p w14:paraId="577B8B1B" w14:textId="2445B628" w:rsidR="00267532" w:rsidRPr="00E53A29" w:rsidRDefault="00267532"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67532">
              <w:rPr>
                <w:rFonts w:ascii="Times New Roman" w:eastAsia="Times New Roman" w:hAnsi="Times New Roman" w:cs="Times New Roman"/>
                <w:i/>
                <w:iCs/>
                <w:sz w:val="18"/>
                <w:szCs w:val="18"/>
                <w:lang w:eastAsia="es-MX"/>
              </w:rPr>
              <w:t>0.9368</w:t>
            </w:r>
            <w:r>
              <w:rPr>
                <w:rFonts w:ascii="Times New Roman" w:eastAsia="Times New Roman" w:hAnsi="Times New Roman" w:cs="Times New Roman"/>
                <w:i/>
                <w:iCs/>
                <w:sz w:val="18"/>
                <w:szCs w:val="18"/>
                <w:lang w:eastAsia="es-MX"/>
              </w:rPr>
              <w:t>]</w:t>
            </w:r>
          </w:p>
        </w:tc>
        <w:tc>
          <w:tcPr>
            <w:tcW w:w="850" w:type="dxa"/>
            <w:vAlign w:val="center"/>
          </w:tcPr>
          <w:p w14:paraId="664AC83A" w14:textId="77777777" w:rsidR="00F35446" w:rsidRDefault="00267532" w:rsidP="002F5C66">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-2.419</w:t>
            </w:r>
          </w:p>
          <w:p w14:paraId="578B6BDD" w14:textId="1FFA6979" w:rsidR="00267532" w:rsidRPr="00E53A29" w:rsidRDefault="00267532"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67532">
              <w:rPr>
                <w:rFonts w:ascii="Times New Roman" w:eastAsia="Times New Roman" w:hAnsi="Times New Roman" w:cs="Times New Roman"/>
                <w:i/>
                <w:iCs/>
                <w:sz w:val="18"/>
                <w:szCs w:val="18"/>
                <w:lang w:eastAsia="es-MX"/>
              </w:rPr>
              <w:t>0.3697</w:t>
            </w:r>
            <w:r>
              <w:rPr>
                <w:rFonts w:ascii="Times New Roman" w:eastAsia="Times New Roman" w:hAnsi="Times New Roman" w:cs="Times New Roman"/>
                <w:i/>
                <w:iCs/>
                <w:sz w:val="18"/>
                <w:szCs w:val="18"/>
                <w:lang w:eastAsia="es-MX"/>
              </w:rPr>
              <w:t>]</w:t>
            </w:r>
          </w:p>
        </w:tc>
        <w:tc>
          <w:tcPr>
            <w:tcW w:w="737" w:type="dxa"/>
            <w:vAlign w:val="center"/>
          </w:tcPr>
          <w:p w14:paraId="30C0D3BA" w14:textId="64AD1B19" w:rsidR="00F35446" w:rsidRPr="00E53A29" w:rsidRDefault="00267532"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1</w:t>
            </w:r>
          </w:p>
        </w:tc>
        <w:tc>
          <w:tcPr>
            <w:tcW w:w="907" w:type="dxa"/>
            <w:vAlign w:val="center"/>
          </w:tcPr>
          <w:p w14:paraId="6904790E" w14:textId="3D8057A6"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1)</w:t>
            </w:r>
          </w:p>
        </w:tc>
      </w:tr>
      <w:tr w:rsidR="00F35446" w:rsidRPr="001B429D" w14:paraId="1FECF35C" w14:textId="6BA4F064" w:rsidTr="00267532">
        <w:trPr>
          <w:trHeight w:val="283"/>
          <w:jc w:val="center"/>
        </w:trPr>
        <w:tc>
          <w:tcPr>
            <w:tcW w:w="1415" w:type="dxa"/>
            <w:vAlign w:val="center"/>
          </w:tcPr>
          <w:p w14:paraId="4A4CEEDA" w14:textId="4F0C1C5F"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dlnipc</w:t>
            </w:r>
            <w:proofErr w:type="spellEnd"/>
          </w:p>
        </w:tc>
        <w:tc>
          <w:tcPr>
            <w:tcW w:w="850" w:type="dxa"/>
            <w:shd w:val="clear" w:color="auto" w:fill="auto"/>
            <w:noWrap/>
            <w:vAlign w:val="center"/>
          </w:tcPr>
          <w:p w14:paraId="3AF42625" w14:textId="40811F2A"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-4.262</w:t>
            </w:r>
          </w:p>
        </w:tc>
        <w:tc>
          <w:tcPr>
            <w:tcW w:w="849" w:type="dxa"/>
            <w:vAlign w:val="center"/>
          </w:tcPr>
          <w:p w14:paraId="3966F923"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-4.247</w:t>
            </w:r>
          </w:p>
          <w:p w14:paraId="440FD471" w14:textId="6DC67FC9"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F5C66">
              <w:rPr>
                <w:rFonts w:ascii="Times New Roman" w:eastAsia="Times New Roman" w:hAnsi="Times New Roman" w:cs="Times New Roman"/>
                <w:i/>
                <w:iCs/>
                <w:sz w:val="18"/>
                <w:szCs w:val="18"/>
                <w:lang w:eastAsia="es-MX"/>
              </w:rPr>
              <w:t>0.0005</w:t>
            </w:r>
            <w:r>
              <w:rPr>
                <w:rFonts w:ascii="Times New Roman" w:eastAsia="Times New Roman" w:hAnsi="Times New Roman" w:cs="Times New Roman"/>
                <w:i/>
                <w:iCs/>
                <w:sz w:val="18"/>
                <w:szCs w:val="18"/>
                <w:lang w:eastAsia="es-MX"/>
              </w:rPr>
              <w:t>]</w:t>
            </w:r>
          </w:p>
        </w:tc>
        <w:tc>
          <w:tcPr>
            <w:tcW w:w="850" w:type="dxa"/>
            <w:vAlign w:val="center"/>
          </w:tcPr>
          <w:p w14:paraId="102AE671"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-4.221</w:t>
            </w:r>
          </w:p>
          <w:p w14:paraId="443FD49A" w14:textId="6E13EDE2"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2F5C66">
              <w:rPr>
                <w:rFonts w:ascii="Times New Roman" w:eastAsia="Times New Roman" w:hAnsi="Times New Roman" w:cs="Times New Roman"/>
                <w:i/>
                <w:iCs/>
                <w:sz w:val="18"/>
                <w:szCs w:val="18"/>
                <w:lang w:eastAsia="es-MX"/>
              </w:rPr>
              <w:t>0.0042</w:t>
            </w:r>
            <w:r>
              <w:rPr>
                <w:rFonts w:ascii="Times New Roman" w:eastAsia="Times New Roman" w:hAnsi="Times New Roman" w:cs="Times New Roman"/>
                <w:i/>
                <w:iCs/>
                <w:sz w:val="18"/>
                <w:szCs w:val="18"/>
                <w:lang w:eastAsia="es-MX"/>
              </w:rPr>
              <w:t>]</w:t>
            </w:r>
          </w:p>
        </w:tc>
        <w:tc>
          <w:tcPr>
            <w:tcW w:w="850" w:type="dxa"/>
            <w:vAlign w:val="center"/>
          </w:tcPr>
          <w:p w14:paraId="696C859E" w14:textId="475F21B7"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-7.408</w:t>
            </w:r>
          </w:p>
        </w:tc>
        <w:tc>
          <w:tcPr>
            <w:tcW w:w="850" w:type="dxa"/>
            <w:vAlign w:val="center"/>
          </w:tcPr>
          <w:p w14:paraId="41B773BF"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-7.348</w:t>
            </w:r>
          </w:p>
          <w:p w14:paraId="0C95899A" w14:textId="001676EC"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[0.0000]</w:t>
            </w:r>
          </w:p>
        </w:tc>
        <w:tc>
          <w:tcPr>
            <w:tcW w:w="850" w:type="dxa"/>
            <w:vAlign w:val="center"/>
          </w:tcPr>
          <w:p w14:paraId="46C4D2E5"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2F5C66">
              <w:rPr>
                <w:rFonts w:ascii="Times New Roman" w:eastAsia="Times New Roman" w:hAnsi="Times New Roman" w:cs="Times New Roman"/>
                <w:i/>
                <w:iCs/>
                <w:sz w:val="18"/>
                <w:szCs w:val="18"/>
                <w:lang w:eastAsia="es-MX"/>
              </w:rPr>
              <w:t>-7.279</w:t>
            </w:r>
          </w:p>
          <w:p w14:paraId="5168E5FD" w14:textId="07DB72B6"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[0.0000]</w:t>
            </w:r>
          </w:p>
        </w:tc>
        <w:tc>
          <w:tcPr>
            <w:tcW w:w="737" w:type="dxa"/>
            <w:vAlign w:val="center"/>
          </w:tcPr>
          <w:p w14:paraId="12D5817A" w14:textId="64460282" w:rsidR="00F35446" w:rsidRDefault="00F35446"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5</w:t>
            </w:r>
          </w:p>
        </w:tc>
        <w:tc>
          <w:tcPr>
            <w:tcW w:w="907" w:type="dxa"/>
            <w:vAlign w:val="center"/>
          </w:tcPr>
          <w:p w14:paraId="31A71228" w14:textId="70875505"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F35446" w:rsidRPr="001B429D" w14:paraId="121159DE" w14:textId="77777777" w:rsidTr="00267532">
        <w:trPr>
          <w:trHeight w:val="283"/>
          <w:jc w:val="center"/>
        </w:trPr>
        <w:tc>
          <w:tcPr>
            <w:tcW w:w="1415" w:type="dxa"/>
            <w:vAlign w:val="center"/>
          </w:tcPr>
          <w:p w14:paraId="7BCA6AB6" w14:textId="1EA94D5E"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dlny</w:t>
            </w:r>
            <w:proofErr w:type="spellEnd"/>
          </w:p>
        </w:tc>
        <w:tc>
          <w:tcPr>
            <w:tcW w:w="850" w:type="dxa"/>
            <w:shd w:val="clear" w:color="auto" w:fill="auto"/>
            <w:noWrap/>
            <w:vAlign w:val="center"/>
          </w:tcPr>
          <w:p w14:paraId="1F6CC327" w14:textId="292A6C18"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-3.787</w:t>
            </w:r>
          </w:p>
        </w:tc>
        <w:tc>
          <w:tcPr>
            <w:tcW w:w="849" w:type="dxa"/>
            <w:vAlign w:val="center"/>
          </w:tcPr>
          <w:p w14:paraId="550A948E"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-4.598</w:t>
            </w:r>
          </w:p>
          <w:p w14:paraId="2A876C89" w14:textId="7B2CA5C9"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0.0001</w:t>
            </w:r>
            <w:r>
              <w:rPr>
                <w:rFonts w:ascii="Times New Roman" w:eastAsia="Times New Roman" w:hAnsi="Times New Roman" w:cs="Times New Roman"/>
                <w:i/>
                <w:iCs/>
                <w:sz w:val="18"/>
                <w:szCs w:val="18"/>
                <w:lang w:eastAsia="es-MX"/>
              </w:rPr>
              <w:t>]</w:t>
            </w:r>
          </w:p>
        </w:tc>
        <w:tc>
          <w:tcPr>
            <w:tcW w:w="850" w:type="dxa"/>
            <w:vAlign w:val="center"/>
          </w:tcPr>
          <w:p w14:paraId="6176968E"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-4.605</w:t>
            </w:r>
          </w:p>
          <w:p w14:paraId="285B948B" w14:textId="07EF1659"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0.0010</w:t>
            </w:r>
            <w:r>
              <w:rPr>
                <w:rFonts w:ascii="Times New Roman" w:eastAsia="Times New Roman" w:hAnsi="Times New Roman" w:cs="Times New Roman"/>
                <w:i/>
                <w:iCs/>
                <w:sz w:val="18"/>
                <w:szCs w:val="18"/>
                <w:lang w:eastAsia="es-MX"/>
              </w:rPr>
              <w:t>]</w:t>
            </w:r>
          </w:p>
        </w:tc>
        <w:tc>
          <w:tcPr>
            <w:tcW w:w="850" w:type="dxa"/>
            <w:vAlign w:val="center"/>
          </w:tcPr>
          <w:p w14:paraId="5C5E6AFE" w14:textId="49DC83BE"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-9.300</w:t>
            </w:r>
          </w:p>
        </w:tc>
        <w:tc>
          <w:tcPr>
            <w:tcW w:w="850" w:type="dxa"/>
            <w:vAlign w:val="center"/>
          </w:tcPr>
          <w:p w14:paraId="0D9A5C38"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-10.349</w:t>
            </w:r>
          </w:p>
          <w:p w14:paraId="2D3B6B97" w14:textId="3D3177CE"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vAlign w:val="center"/>
          </w:tcPr>
          <w:p w14:paraId="5B712F43" w14:textId="77777777" w:rsidR="00F35446" w:rsidRDefault="00F35446" w:rsidP="002F5C66">
            <w:pPr>
              <w:spacing w:after="0" w:line="240" w:lineRule="auto"/>
              <w:jc w:val="center"/>
              <w:rPr>
                <w:rFonts w:ascii="Times New Roman" w:eastAsia="Times New Roman" w:hAnsi="Times New Roman" w:cs="Times New Roman"/>
                <w:i/>
                <w:iCs/>
                <w:sz w:val="18"/>
                <w:szCs w:val="18"/>
                <w:lang w:eastAsia="es-MX"/>
              </w:rPr>
            </w:pPr>
            <w:r w:rsidRPr="00F35446">
              <w:rPr>
                <w:rFonts w:ascii="Times New Roman" w:eastAsia="Times New Roman" w:hAnsi="Times New Roman" w:cs="Times New Roman"/>
                <w:i/>
                <w:iCs/>
                <w:sz w:val="18"/>
                <w:szCs w:val="18"/>
                <w:lang w:eastAsia="es-MX"/>
              </w:rPr>
              <w:t>-10.336</w:t>
            </w:r>
          </w:p>
          <w:p w14:paraId="5B9B471C" w14:textId="2DB04D16" w:rsidR="00F35446" w:rsidRPr="00E53A29" w:rsidRDefault="00F35446"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[0.0000]</w:t>
            </w:r>
          </w:p>
        </w:tc>
        <w:tc>
          <w:tcPr>
            <w:tcW w:w="737" w:type="dxa"/>
            <w:vAlign w:val="center"/>
          </w:tcPr>
          <w:p w14:paraId="39654693" w14:textId="5B818D97" w:rsidR="00F35446" w:rsidRPr="00E53A29" w:rsidRDefault="00F35446"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1</w:t>
            </w:r>
          </w:p>
        </w:tc>
        <w:tc>
          <w:tcPr>
            <w:tcW w:w="907" w:type="dxa"/>
            <w:vAlign w:val="center"/>
          </w:tcPr>
          <w:p w14:paraId="059DCEC0" w14:textId="707E48DC" w:rsidR="00F35446" w:rsidRPr="00E53A29" w:rsidRDefault="00BE520D"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F35446" w:rsidRPr="001B429D" w14:paraId="59ECD6B0" w14:textId="77777777" w:rsidTr="00267532">
        <w:trPr>
          <w:trHeight w:val="283"/>
          <w:jc w:val="center"/>
        </w:trPr>
        <w:tc>
          <w:tcPr>
            <w:tcW w:w="1415" w:type="dxa"/>
            <w:vAlign w:val="center"/>
          </w:tcPr>
          <w:p w14:paraId="18332A4B" w14:textId="6009D55B"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lastRenderedPageBreak/>
              <w:t>dlndeuda</w:t>
            </w:r>
            <w:proofErr w:type="spellEnd"/>
          </w:p>
        </w:tc>
        <w:tc>
          <w:tcPr>
            <w:tcW w:w="850" w:type="dxa"/>
            <w:shd w:val="clear" w:color="auto" w:fill="auto"/>
            <w:noWrap/>
            <w:vAlign w:val="center"/>
          </w:tcPr>
          <w:p w14:paraId="7DEA4035" w14:textId="3CD2EA92" w:rsidR="00F35446" w:rsidRPr="00E53A29" w:rsidRDefault="00B91B35" w:rsidP="002F5C66">
            <w:pPr>
              <w:spacing w:after="0" w:line="240" w:lineRule="auto"/>
              <w:jc w:val="center"/>
              <w:rPr>
                <w:rFonts w:ascii="Times New Roman" w:eastAsia="Times New Roman" w:hAnsi="Times New Roman" w:cs="Times New Roman"/>
                <w:i/>
                <w:iCs/>
                <w:sz w:val="18"/>
                <w:szCs w:val="18"/>
                <w:lang w:eastAsia="es-MX"/>
              </w:rPr>
            </w:pPr>
            <w:r w:rsidRPr="00B91B35">
              <w:rPr>
                <w:rFonts w:ascii="Times New Roman" w:eastAsia="Times New Roman" w:hAnsi="Times New Roman" w:cs="Times New Roman"/>
                <w:i/>
                <w:iCs/>
                <w:sz w:val="18"/>
                <w:szCs w:val="18"/>
                <w:lang w:eastAsia="es-MX"/>
              </w:rPr>
              <w:t>-1.416</w:t>
            </w:r>
          </w:p>
        </w:tc>
        <w:tc>
          <w:tcPr>
            <w:tcW w:w="849" w:type="dxa"/>
            <w:vAlign w:val="center"/>
          </w:tcPr>
          <w:p w14:paraId="1EAE1D9A" w14:textId="4665A370" w:rsidR="00B91B35" w:rsidRPr="00E53A29" w:rsidRDefault="00BE520D" w:rsidP="002F5C66">
            <w:pPr>
              <w:spacing w:after="0" w:line="240" w:lineRule="auto"/>
              <w:jc w:val="center"/>
              <w:rPr>
                <w:rFonts w:ascii="Times New Roman" w:eastAsia="Times New Roman" w:hAnsi="Times New Roman" w:cs="Times New Roman"/>
                <w:i/>
                <w:iCs/>
                <w:sz w:val="18"/>
                <w:szCs w:val="18"/>
                <w:lang w:eastAsia="es-MX"/>
              </w:rPr>
            </w:pPr>
            <w:r w:rsidRPr="00BE520D">
              <w:rPr>
                <w:rFonts w:ascii="Times New Roman" w:eastAsia="Times New Roman" w:hAnsi="Times New Roman" w:cs="Times New Roman"/>
                <w:i/>
                <w:iCs/>
                <w:sz w:val="18"/>
                <w:szCs w:val="18"/>
                <w:lang w:eastAsia="es-MX"/>
              </w:rPr>
              <w:t xml:space="preserve">-3.241 </w:t>
            </w:r>
            <w:r w:rsidR="00B91B35">
              <w:rPr>
                <w:rFonts w:ascii="Times New Roman" w:eastAsia="Times New Roman" w:hAnsi="Times New Roman" w:cs="Times New Roman"/>
                <w:i/>
                <w:iCs/>
                <w:sz w:val="18"/>
                <w:szCs w:val="18"/>
                <w:lang w:eastAsia="es-MX"/>
              </w:rPr>
              <w:t>[</w:t>
            </w:r>
            <w:r w:rsidRPr="00BE520D">
              <w:rPr>
                <w:rFonts w:ascii="Times New Roman" w:eastAsia="Times New Roman" w:hAnsi="Times New Roman" w:cs="Times New Roman"/>
                <w:i/>
                <w:iCs/>
                <w:sz w:val="18"/>
                <w:szCs w:val="18"/>
                <w:lang w:eastAsia="es-MX"/>
              </w:rPr>
              <w:t>0.0177</w:t>
            </w:r>
            <w:r w:rsidR="00B91B35">
              <w:rPr>
                <w:rFonts w:ascii="Times New Roman" w:eastAsia="Times New Roman" w:hAnsi="Times New Roman" w:cs="Times New Roman"/>
                <w:i/>
                <w:iCs/>
                <w:sz w:val="18"/>
                <w:szCs w:val="18"/>
                <w:lang w:eastAsia="es-MX"/>
              </w:rPr>
              <w:t>]</w:t>
            </w:r>
          </w:p>
        </w:tc>
        <w:tc>
          <w:tcPr>
            <w:tcW w:w="850" w:type="dxa"/>
            <w:vAlign w:val="center"/>
          </w:tcPr>
          <w:p w14:paraId="18B2699A" w14:textId="09654E7E" w:rsidR="00B91B35" w:rsidRPr="00E53A29" w:rsidRDefault="00BE520D" w:rsidP="002F5C66">
            <w:pPr>
              <w:spacing w:after="0" w:line="240" w:lineRule="auto"/>
              <w:jc w:val="center"/>
              <w:rPr>
                <w:rFonts w:ascii="Times New Roman" w:eastAsia="Times New Roman" w:hAnsi="Times New Roman" w:cs="Times New Roman"/>
                <w:i/>
                <w:iCs/>
                <w:sz w:val="18"/>
                <w:szCs w:val="18"/>
                <w:lang w:eastAsia="es-MX"/>
              </w:rPr>
            </w:pPr>
            <w:r w:rsidRPr="00BE520D">
              <w:rPr>
                <w:rFonts w:ascii="Times New Roman" w:eastAsia="Times New Roman" w:hAnsi="Times New Roman" w:cs="Times New Roman"/>
                <w:i/>
                <w:iCs/>
                <w:sz w:val="18"/>
                <w:szCs w:val="18"/>
                <w:lang w:eastAsia="es-MX"/>
              </w:rPr>
              <w:t xml:space="preserve">-3.225 </w:t>
            </w:r>
            <w:r w:rsidR="00B91B35">
              <w:rPr>
                <w:rFonts w:ascii="Times New Roman" w:eastAsia="Times New Roman" w:hAnsi="Times New Roman" w:cs="Times New Roman"/>
                <w:i/>
                <w:iCs/>
                <w:sz w:val="18"/>
                <w:szCs w:val="18"/>
                <w:lang w:eastAsia="es-MX"/>
              </w:rPr>
              <w:t>[</w:t>
            </w:r>
            <w:r w:rsidRPr="00BE520D">
              <w:rPr>
                <w:rFonts w:ascii="Times New Roman" w:eastAsia="Times New Roman" w:hAnsi="Times New Roman" w:cs="Times New Roman"/>
                <w:i/>
                <w:iCs/>
                <w:sz w:val="18"/>
                <w:szCs w:val="18"/>
                <w:lang w:eastAsia="es-MX"/>
              </w:rPr>
              <w:t>0.0795</w:t>
            </w:r>
            <w:r w:rsidR="00B91B35">
              <w:rPr>
                <w:rFonts w:ascii="Times New Roman" w:eastAsia="Times New Roman" w:hAnsi="Times New Roman" w:cs="Times New Roman"/>
                <w:i/>
                <w:iCs/>
                <w:sz w:val="18"/>
                <w:szCs w:val="18"/>
                <w:lang w:eastAsia="es-MX"/>
              </w:rPr>
              <w:t>]</w:t>
            </w:r>
          </w:p>
        </w:tc>
        <w:tc>
          <w:tcPr>
            <w:tcW w:w="850" w:type="dxa"/>
            <w:vAlign w:val="center"/>
          </w:tcPr>
          <w:p w14:paraId="0F89E575" w14:textId="6A936F5A" w:rsidR="00F35446" w:rsidRPr="00E53A29" w:rsidRDefault="00BE520D" w:rsidP="002F5C66">
            <w:pPr>
              <w:spacing w:after="0" w:line="240" w:lineRule="auto"/>
              <w:jc w:val="center"/>
              <w:rPr>
                <w:rFonts w:ascii="Times New Roman" w:eastAsia="Times New Roman" w:hAnsi="Times New Roman" w:cs="Times New Roman"/>
                <w:i/>
                <w:iCs/>
                <w:sz w:val="18"/>
                <w:szCs w:val="18"/>
                <w:lang w:eastAsia="es-MX"/>
              </w:rPr>
            </w:pPr>
            <w:r w:rsidRPr="00BE520D">
              <w:rPr>
                <w:rFonts w:ascii="Times New Roman" w:eastAsia="Times New Roman" w:hAnsi="Times New Roman" w:cs="Times New Roman"/>
                <w:i/>
                <w:iCs/>
                <w:sz w:val="18"/>
                <w:szCs w:val="18"/>
                <w:lang w:eastAsia="es-MX"/>
              </w:rPr>
              <w:t>-5.995</w:t>
            </w:r>
          </w:p>
        </w:tc>
        <w:tc>
          <w:tcPr>
            <w:tcW w:w="850" w:type="dxa"/>
            <w:vAlign w:val="center"/>
          </w:tcPr>
          <w:p w14:paraId="7DDB4C4A" w14:textId="77777777" w:rsidR="00F35446" w:rsidRDefault="00BE520D" w:rsidP="002F5C66">
            <w:pPr>
              <w:spacing w:after="0" w:line="240" w:lineRule="auto"/>
              <w:jc w:val="center"/>
              <w:rPr>
                <w:rFonts w:ascii="Times New Roman" w:eastAsia="Times New Roman" w:hAnsi="Times New Roman" w:cs="Times New Roman"/>
                <w:i/>
                <w:iCs/>
                <w:sz w:val="18"/>
                <w:szCs w:val="18"/>
                <w:lang w:eastAsia="es-MX"/>
              </w:rPr>
            </w:pPr>
            <w:r w:rsidRPr="00BE520D">
              <w:rPr>
                <w:rFonts w:ascii="Times New Roman" w:eastAsia="Times New Roman" w:hAnsi="Times New Roman" w:cs="Times New Roman"/>
                <w:i/>
                <w:iCs/>
                <w:sz w:val="18"/>
                <w:szCs w:val="18"/>
                <w:lang w:eastAsia="es-MX"/>
              </w:rPr>
              <w:t>-8.136</w:t>
            </w:r>
          </w:p>
          <w:p w14:paraId="383468EF" w14:textId="610AB601" w:rsidR="00BE520D" w:rsidRPr="00E53A29" w:rsidRDefault="00BE520D"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vAlign w:val="center"/>
          </w:tcPr>
          <w:p w14:paraId="459C48A0" w14:textId="415CD1A3" w:rsidR="00F35446" w:rsidRDefault="00BE520D" w:rsidP="002F5C66">
            <w:pPr>
              <w:spacing w:after="0" w:line="240" w:lineRule="auto"/>
              <w:jc w:val="center"/>
              <w:rPr>
                <w:rFonts w:ascii="Times New Roman" w:eastAsia="Times New Roman" w:hAnsi="Times New Roman" w:cs="Times New Roman"/>
                <w:i/>
                <w:iCs/>
                <w:sz w:val="18"/>
                <w:szCs w:val="18"/>
                <w:lang w:eastAsia="es-MX"/>
              </w:rPr>
            </w:pPr>
            <w:r w:rsidRPr="00BE520D">
              <w:rPr>
                <w:rFonts w:ascii="Times New Roman" w:eastAsia="Times New Roman" w:hAnsi="Times New Roman" w:cs="Times New Roman"/>
                <w:i/>
                <w:iCs/>
                <w:sz w:val="18"/>
                <w:szCs w:val="18"/>
                <w:lang w:eastAsia="es-MX"/>
              </w:rPr>
              <w:t>-8.092</w:t>
            </w:r>
          </w:p>
          <w:p w14:paraId="4DAA71D7" w14:textId="179AF6DF" w:rsidR="00BE520D" w:rsidRPr="00E53A29" w:rsidRDefault="00BE520D"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F35446">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737" w:type="dxa"/>
            <w:vAlign w:val="center"/>
          </w:tcPr>
          <w:p w14:paraId="2FBC38D7" w14:textId="75BD464D" w:rsidR="00F35446" w:rsidRPr="00E53A29" w:rsidRDefault="00BE520D"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3</w:t>
            </w:r>
          </w:p>
        </w:tc>
        <w:tc>
          <w:tcPr>
            <w:tcW w:w="907" w:type="dxa"/>
            <w:vAlign w:val="center"/>
          </w:tcPr>
          <w:p w14:paraId="491F898E" w14:textId="37BE22E6" w:rsidR="00F35446" w:rsidRPr="00E53A29" w:rsidRDefault="00BE520D"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F35446" w:rsidRPr="001B429D" w14:paraId="3C9D1413" w14:textId="77777777" w:rsidTr="00267532">
        <w:trPr>
          <w:trHeight w:val="283"/>
          <w:jc w:val="center"/>
        </w:trPr>
        <w:tc>
          <w:tcPr>
            <w:tcW w:w="1415" w:type="dxa"/>
            <w:vAlign w:val="center"/>
          </w:tcPr>
          <w:p w14:paraId="2FE8930A" w14:textId="744AE576"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dlnib</w:t>
            </w:r>
            <w:proofErr w:type="spellEnd"/>
          </w:p>
        </w:tc>
        <w:tc>
          <w:tcPr>
            <w:tcW w:w="850" w:type="dxa"/>
            <w:shd w:val="clear" w:color="auto" w:fill="auto"/>
            <w:noWrap/>
            <w:vAlign w:val="center"/>
          </w:tcPr>
          <w:p w14:paraId="085DBCCE" w14:textId="36997923"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-5.380</w:t>
            </w:r>
          </w:p>
        </w:tc>
        <w:tc>
          <w:tcPr>
            <w:tcW w:w="849" w:type="dxa"/>
            <w:vAlign w:val="center"/>
          </w:tcPr>
          <w:p w14:paraId="00BBB79D"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-5.555</w:t>
            </w:r>
          </w:p>
          <w:p w14:paraId="0F20D9F8" w14:textId="1FB57434"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vAlign w:val="center"/>
          </w:tcPr>
          <w:p w14:paraId="5BD97B29"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-6.034</w:t>
            </w:r>
          </w:p>
          <w:p w14:paraId="7A56BC3B" w14:textId="0E845515"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vAlign w:val="center"/>
          </w:tcPr>
          <w:p w14:paraId="6C802C07" w14:textId="0FFBD65A"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-5.809</w:t>
            </w:r>
          </w:p>
        </w:tc>
        <w:tc>
          <w:tcPr>
            <w:tcW w:w="850" w:type="dxa"/>
            <w:vAlign w:val="center"/>
          </w:tcPr>
          <w:p w14:paraId="10E575E3"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-5.944</w:t>
            </w:r>
          </w:p>
          <w:p w14:paraId="0C25E77B" w14:textId="42F203C2"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vAlign w:val="center"/>
          </w:tcPr>
          <w:p w14:paraId="4E962CE7" w14:textId="77777777" w:rsidR="00F35446" w:rsidRDefault="00A00393" w:rsidP="002F5C66">
            <w:pPr>
              <w:spacing w:after="0" w:line="240" w:lineRule="auto"/>
              <w:jc w:val="center"/>
              <w:rPr>
                <w:rFonts w:ascii="Times New Roman" w:eastAsia="Times New Roman" w:hAnsi="Times New Roman" w:cs="Times New Roman"/>
                <w:i/>
                <w:iCs/>
                <w:sz w:val="18"/>
                <w:szCs w:val="18"/>
                <w:lang w:eastAsia="es-MX"/>
              </w:rPr>
            </w:pPr>
            <w:r w:rsidRPr="00A00393">
              <w:rPr>
                <w:rFonts w:ascii="Times New Roman" w:eastAsia="Times New Roman" w:hAnsi="Times New Roman" w:cs="Times New Roman"/>
                <w:i/>
                <w:iCs/>
                <w:sz w:val="18"/>
                <w:szCs w:val="18"/>
                <w:lang w:eastAsia="es-MX"/>
              </w:rPr>
              <w:t>-6.301</w:t>
            </w:r>
          </w:p>
          <w:p w14:paraId="252E128E" w14:textId="172A3352" w:rsidR="00A00393" w:rsidRPr="00E53A29" w:rsidRDefault="00A00393"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A00393">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737" w:type="dxa"/>
            <w:vAlign w:val="center"/>
          </w:tcPr>
          <w:p w14:paraId="60C95685" w14:textId="48FF7DF8" w:rsidR="00F35446" w:rsidRPr="00E53A29" w:rsidRDefault="00A00393"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1</w:t>
            </w:r>
          </w:p>
        </w:tc>
        <w:tc>
          <w:tcPr>
            <w:tcW w:w="907" w:type="dxa"/>
            <w:vAlign w:val="center"/>
          </w:tcPr>
          <w:p w14:paraId="2918EF32" w14:textId="01819FE6" w:rsidR="00F35446" w:rsidRPr="00E53A29" w:rsidRDefault="00A00393"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F35446" w:rsidRPr="001B429D" w14:paraId="6B1D12BB" w14:textId="77777777" w:rsidTr="00267532">
        <w:trPr>
          <w:trHeight w:val="283"/>
          <w:jc w:val="center"/>
        </w:trPr>
        <w:tc>
          <w:tcPr>
            <w:tcW w:w="1415" w:type="dxa"/>
            <w:vAlign w:val="center"/>
          </w:tcPr>
          <w:p w14:paraId="0754465C" w14:textId="7851E529"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dlnm</w:t>
            </w:r>
            <w:proofErr w:type="spellEnd"/>
          </w:p>
        </w:tc>
        <w:tc>
          <w:tcPr>
            <w:tcW w:w="850" w:type="dxa"/>
            <w:shd w:val="clear" w:color="auto" w:fill="auto"/>
            <w:noWrap/>
            <w:vAlign w:val="center"/>
          </w:tcPr>
          <w:p w14:paraId="471BFD8E" w14:textId="4CC429D4" w:rsidR="00F35446"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-2.261</w:t>
            </w:r>
          </w:p>
        </w:tc>
        <w:tc>
          <w:tcPr>
            <w:tcW w:w="849" w:type="dxa"/>
            <w:vAlign w:val="center"/>
          </w:tcPr>
          <w:p w14:paraId="45A993DB"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-3.355</w:t>
            </w:r>
          </w:p>
          <w:p w14:paraId="17DB0B07" w14:textId="1B3DA306"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0.0126</w:t>
            </w:r>
            <w:r>
              <w:rPr>
                <w:rFonts w:ascii="Times New Roman" w:eastAsia="Times New Roman" w:hAnsi="Times New Roman" w:cs="Times New Roman"/>
                <w:i/>
                <w:iCs/>
                <w:sz w:val="18"/>
                <w:szCs w:val="18"/>
                <w:lang w:eastAsia="es-MX"/>
              </w:rPr>
              <w:t>]</w:t>
            </w:r>
          </w:p>
        </w:tc>
        <w:tc>
          <w:tcPr>
            <w:tcW w:w="850" w:type="dxa"/>
            <w:vAlign w:val="center"/>
          </w:tcPr>
          <w:p w14:paraId="69ED33EA"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-3.878</w:t>
            </w:r>
          </w:p>
          <w:p w14:paraId="4942C83C" w14:textId="215655FA"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0.0130</w:t>
            </w:r>
            <w:r>
              <w:rPr>
                <w:rFonts w:ascii="Times New Roman" w:eastAsia="Times New Roman" w:hAnsi="Times New Roman" w:cs="Times New Roman"/>
                <w:i/>
                <w:iCs/>
                <w:sz w:val="18"/>
                <w:szCs w:val="18"/>
                <w:lang w:eastAsia="es-MX"/>
              </w:rPr>
              <w:t>]</w:t>
            </w:r>
          </w:p>
        </w:tc>
        <w:tc>
          <w:tcPr>
            <w:tcW w:w="850" w:type="dxa"/>
            <w:vAlign w:val="center"/>
          </w:tcPr>
          <w:p w14:paraId="22088495" w14:textId="0BC3CE89" w:rsidR="00F35446"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-4.772</w:t>
            </w:r>
          </w:p>
        </w:tc>
        <w:tc>
          <w:tcPr>
            <w:tcW w:w="850" w:type="dxa"/>
            <w:vAlign w:val="center"/>
          </w:tcPr>
          <w:p w14:paraId="771E4E43"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-5.791</w:t>
            </w:r>
          </w:p>
          <w:p w14:paraId="3BD3195A" w14:textId="5426A929"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vAlign w:val="center"/>
          </w:tcPr>
          <w:p w14:paraId="1DC73792" w14:textId="77777777" w:rsidR="00F35446" w:rsidRDefault="00E34EA1" w:rsidP="002F5C66">
            <w:pPr>
              <w:spacing w:after="0" w:line="240" w:lineRule="auto"/>
              <w:jc w:val="center"/>
              <w:rPr>
                <w:rFonts w:ascii="Times New Roman" w:eastAsia="Times New Roman" w:hAnsi="Times New Roman" w:cs="Times New Roman"/>
                <w:i/>
                <w:iCs/>
                <w:sz w:val="18"/>
                <w:szCs w:val="18"/>
                <w:lang w:eastAsia="es-MX"/>
              </w:rPr>
            </w:pPr>
            <w:r w:rsidRPr="00E34EA1">
              <w:rPr>
                <w:rFonts w:ascii="Times New Roman" w:eastAsia="Times New Roman" w:hAnsi="Times New Roman" w:cs="Times New Roman"/>
                <w:i/>
                <w:iCs/>
                <w:sz w:val="18"/>
                <w:szCs w:val="18"/>
                <w:lang w:eastAsia="es-MX"/>
              </w:rPr>
              <w:t>-6.254</w:t>
            </w:r>
          </w:p>
          <w:p w14:paraId="2C8067A4" w14:textId="676F3960" w:rsidR="00E34EA1" w:rsidRPr="00E53A29" w:rsidRDefault="00E34EA1"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E34EA1">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737" w:type="dxa"/>
            <w:vAlign w:val="center"/>
          </w:tcPr>
          <w:p w14:paraId="2157B188" w14:textId="30F8F948" w:rsidR="00F35446" w:rsidRPr="00E53A29" w:rsidRDefault="00E34EA1"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1</w:t>
            </w:r>
          </w:p>
        </w:tc>
        <w:tc>
          <w:tcPr>
            <w:tcW w:w="907" w:type="dxa"/>
            <w:vAlign w:val="center"/>
          </w:tcPr>
          <w:p w14:paraId="17F69E21" w14:textId="62D190A7" w:rsidR="00F35446" w:rsidRPr="00E53A29" w:rsidRDefault="00E34EA1"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F35446" w:rsidRPr="001B429D" w14:paraId="0F121D24" w14:textId="77777777" w:rsidTr="00267532">
        <w:trPr>
          <w:trHeight w:val="283"/>
          <w:jc w:val="center"/>
        </w:trPr>
        <w:tc>
          <w:tcPr>
            <w:tcW w:w="1415" w:type="dxa"/>
            <w:vAlign w:val="center"/>
          </w:tcPr>
          <w:p w14:paraId="0014F1C5" w14:textId="78D15B7D"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dlne</w:t>
            </w:r>
            <w:proofErr w:type="spellEnd"/>
          </w:p>
        </w:tc>
        <w:tc>
          <w:tcPr>
            <w:tcW w:w="850" w:type="dxa"/>
            <w:shd w:val="clear" w:color="auto" w:fill="auto"/>
            <w:noWrap/>
            <w:vAlign w:val="center"/>
          </w:tcPr>
          <w:p w14:paraId="3E8BBEB3" w14:textId="696E228F"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-5.065</w:t>
            </w:r>
          </w:p>
        </w:tc>
        <w:tc>
          <w:tcPr>
            <w:tcW w:w="849" w:type="dxa"/>
            <w:vAlign w:val="center"/>
          </w:tcPr>
          <w:p w14:paraId="6163A859"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-5.060</w:t>
            </w:r>
          </w:p>
          <w:p w14:paraId="121FB259" w14:textId="170EAF00"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vAlign w:val="center"/>
          </w:tcPr>
          <w:p w14:paraId="0FD8FF3F"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-5.268</w:t>
            </w:r>
          </w:p>
          <w:p w14:paraId="6509AEDC" w14:textId="5DDFC1EB"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0.0001</w:t>
            </w:r>
            <w:r>
              <w:rPr>
                <w:rFonts w:ascii="Times New Roman" w:eastAsia="Times New Roman" w:hAnsi="Times New Roman" w:cs="Times New Roman"/>
                <w:i/>
                <w:iCs/>
                <w:sz w:val="18"/>
                <w:szCs w:val="18"/>
                <w:lang w:eastAsia="es-MX"/>
              </w:rPr>
              <w:t>]</w:t>
            </w:r>
          </w:p>
        </w:tc>
        <w:tc>
          <w:tcPr>
            <w:tcW w:w="850" w:type="dxa"/>
            <w:vAlign w:val="center"/>
          </w:tcPr>
          <w:p w14:paraId="3F862668" w14:textId="517861CE"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-6.045</w:t>
            </w:r>
          </w:p>
        </w:tc>
        <w:tc>
          <w:tcPr>
            <w:tcW w:w="850" w:type="dxa"/>
            <w:vAlign w:val="center"/>
          </w:tcPr>
          <w:p w14:paraId="41D167FE"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-6.025</w:t>
            </w:r>
          </w:p>
          <w:p w14:paraId="187C409F" w14:textId="0825C806"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[0.0000]</w:t>
            </w:r>
          </w:p>
        </w:tc>
        <w:tc>
          <w:tcPr>
            <w:tcW w:w="850" w:type="dxa"/>
            <w:vAlign w:val="center"/>
          </w:tcPr>
          <w:p w14:paraId="14A68897"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-6.113</w:t>
            </w:r>
          </w:p>
          <w:p w14:paraId="71C7C942" w14:textId="0EE34E3F"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[0.0000]</w:t>
            </w:r>
          </w:p>
        </w:tc>
        <w:tc>
          <w:tcPr>
            <w:tcW w:w="737" w:type="dxa"/>
            <w:vAlign w:val="center"/>
          </w:tcPr>
          <w:p w14:paraId="5C584E40" w14:textId="413D8C58" w:rsidR="00F35446" w:rsidRPr="00E53A29" w:rsidRDefault="00540EC4"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2</w:t>
            </w:r>
          </w:p>
        </w:tc>
        <w:tc>
          <w:tcPr>
            <w:tcW w:w="907" w:type="dxa"/>
            <w:vAlign w:val="center"/>
          </w:tcPr>
          <w:p w14:paraId="22B82FE5" w14:textId="722B7827"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F35446" w:rsidRPr="001B429D" w14:paraId="7F333902" w14:textId="77777777" w:rsidTr="00267532">
        <w:trPr>
          <w:trHeight w:val="283"/>
          <w:jc w:val="center"/>
        </w:trPr>
        <w:tc>
          <w:tcPr>
            <w:tcW w:w="1415" w:type="dxa"/>
            <w:vAlign w:val="center"/>
          </w:tcPr>
          <w:p w14:paraId="3967A796" w14:textId="12AFC585"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dlni</w:t>
            </w:r>
            <w:proofErr w:type="spellEnd"/>
          </w:p>
        </w:tc>
        <w:tc>
          <w:tcPr>
            <w:tcW w:w="850" w:type="dxa"/>
            <w:shd w:val="clear" w:color="auto" w:fill="auto"/>
            <w:noWrap/>
            <w:vAlign w:val="center"/>
          </w:tcPr>
          <w:p w14:paraId="5894F657" w14:textId="1B5B56F3"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-3.497</w:t>
            </w:r>
          </w:p>
        </w:tc>
        <w:tc>
          <w:tcPr>
            <w:tcW w:w="849" w:type="dxa"/>
            <w:vAlign w:val="center"/>
          </w:tcPr>
          <w:p w14:paraId="19A0C355"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-3.573</w:t>
            </w:r>
          </w:p>
          <w:p w14:paraId="65BB4111" w14:textId="18763CF3"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0.0063</w:t>
            </w:r>
            <w:r>
              <w:rPr>
                <w:rFonts w:ascii="Times New Roman" w:eastAsia="Times New Roman" w:hAnsi="Times New Roman" w:cs="Times New Roman"/>
                <w:i/>
                <w:iCs/>
                <w:sz w:val="18"/>
                <w:szCs w:val="18"/>
                <w:lang w:eastAsia="es-MX"/>
              </w:rPr>
              <w:t>]</w:t>
            </w:r>
          </w:p>
        </w:tc>
        <w:tc>
          <w:tcPr>
            <w:tcW w:w="850" w:type="dxa"/>
            <w:vAlign w:val="center"/>
          </w:tcPr>
          <w:p w14:paraId="1E31800E"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-3.699</w:t>
            </w:r>
          </w:p>
          <w:p w14:paraId="5BBC24BB" w14:textId="34B3706F"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0.0224</w:t>
            </w:r>
            <w:r>
              <w:rPr>
                <w:rFonts w:ascii="Times New Roman" w:eastAsia="Times New Roman" w:hAnsi="Times New Roman" w:cs="Times New Roman"/>
                <w:i/>
                <w:iCs/>
                <w:sz w:val="18"/>
                <w:szCs w:val="18"/>
                <w:lang w:eastAsia="es-MX"/>
              </w:rPr>
              <w:t>]</w:t>
            </w:r>
          </w:p>
        </w:tc>
        <w:tc>
          <w:tcPr>
            <w:tcW w:w="850" w:type="dxa"/>
            <w:vAlign w:val="center"/>
          </w:tcPr>
          <w:p w14:paraId="5BDA07ED" w14:textId="089B8785"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-4.275</w:t>
            </w:r>
          </w:p>
        </w:tc>
        <w:tc>
          <w:tcPr>
            <w:tcW w:w="850" w:type="dxa"/>
            <w:vAlign w:val="center"/>
          </w:tcPr>
          <w:p w14:paraId="505E5376"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-4.381</w:t>
            </w:r>
          </w:p>
          <w:p w14:paraId="566F01D0" w14:textId="4A851FCC"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0.0003</w:t>
            </w:r>
            <w:r>
              <w:rPr>
                <w:rFonts w:ascii="Times New Roman" w:eastAsia="Times New Roman" w:hAnsi="Times New Roman" w:cs="Times New Roman"/>
                <w:i/>
                <w:iCs/>
                <w:sz w:val="18"/>
                <w:szCs w:val="18"/>
                <w:lang w:eastAsia="es-MX"/>
              </w:rPr>
              <w:t>]</w:t>
            </w:r>
          </w:p>
        </w:tc>
        <w:tc>
          <w:tcPr>
            <w:tcW w:w="850" w:type="dxa"/>
            <w:vAlign w:val="center"/>
          </w:tcPr>
          <w:p w14:paraId="28697242" w14:textId="77777777" w:rsidR="00F35446" w:rsidRDefault="00540EC4" w:rsidP="002F5C66">
            <w:pPr>
              <w:spacing w:after="0" w:line="240" w:lineRule="auto"/>
              <w:jc w:val="center"/>
              <w:rPr>
                <w:rFonts w:ascii="Times New Roman" w:eastAsia="Times New Roman" w:hAnsi="Times New Roman" w:cs="Times New Roman"/>
                <w:i/>
                <w:iCs/>
                <w:sz w:val="18"/>
                <w:szCs w:val="18"/>
                <w:lang w:eastAsia="es-MX"/>
              </w:rPr>
            </w:pPr>
            <w:r w:rsidRPr="00540EC4">
              <w:rPr>
                <w:rFonts w:ascii="Times New Roman" w:eastAsia="Times New Roman" w:hAnsi="Times New Roman" w:cs="Times New Roman"/>
                <w:i/>
                <w:iCs/>
                <w:sz w:val="18"/>
                <w:szCs w:val="18"/>
                <w:lang w:eastAsia="es-MX"/>
              </w:rPr>
              <w:t>-4.515</w:t>
            </w:r>
          </w:p>
          <w:p w14:paraId="7BA565EB" w14:textId="5CB9E783" w:rsidR="00540EC4" w:rsidRPr="00E53A29" w:rsidRDefault="00540EC4"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0.0014</w:t>
            </w:r>
            <w:r>
              <w:rPr>
                <w:rFonts w:ascii="Times New Roman" w:eastAsia="Times New Roman" w:hAnsi="Times New Roman" w:cs="Times New Roman"/>
                <w:i/>
                <w:iCs/>
                <w:sz w:val="18"/>
                <w:szCs w:val="18"/>
                <w:lang w:eastAsia="es-MX"/>
              </w:rPr>
              <w:t>]</w:t>
            </w:r>
          </w:p>
        </w:tc>
        <w:tc>
          <w:tcPr>
            <w:tcW w:w="737" w:type="dxa"/>
            <w:vAlign w:val="center"/>
          </w:tcPr>
          <w:p w14:paraId="2F91A4DE" w14:textId="62F363E1" w:rsidR="00F35446" w:rsidRPr="00E53A29" w:rsidRDefault="00540EC4"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5</w:t>
            </w:r>
          </w:p>
        </w:tc>
        <w:tc>
          <w:tcPr>
            <w:tcW w:w="907" w:type="dxa"/>
            <w:vAlign w:val="center"/>
          </w:tcPr>
          <w:p w14:paraId="311B4BAF" w14:textId="08AD6822"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F35446" w:rsidRPr="001B429D" w14:paraId="1E54D784" w14:textId="77777777" w:rsidTr="00267532">
        <w:trPr>
          <w:trHeight w:val="283"/>
          <w:jc w:val="center"/>
        </w:trPr>
        <w:tc>
          <w:tcPr>
            <w:tcW w:w="1415" w:type="dxa"/>
            <w:vAlign w:val="center"/>
          </w:tcPr>
          <w:p w14:paraId="6E134F2F" w14:textId="734EF4EB" w:rsidR="00F35446" w:rsidRPr="00E53A29" w:rsidRDefault="00F35446" w:rsidP="0005145B">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dlnk</w:t>
            </w:r>
            <w:proofErr w:type="spellEnd"/>
          </w:p>
        </w:tc>
        <w:tc>
          <w:tcPr>
            <w:tcW w:w="850" w:type="dxa"/>
            <w:shd w:val="clear" w:color="auto" w:fill="auto"/>
            <w:noWrap/>
            <w:vAlign w:val="center"/>
          </w:tcPr>
          <w:p w14:paraId="75D1A266" w14:textId="308B3F9D" w:rsidR="00F35446"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-1.855</w:t>
            </w:r>
          </w:p>
        </w:tc>
        <w:tc>
          <w:tcPr>
            <w:tcW w:w="849" w:type="dxa"/>
            <w:vAlign w:val="center"/>
          </w:tcPr>
          <w:p w14:paraId="761D35CD"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-3.022</w:t>
            </w:r>
          </w:p>
          <w:p w14:paraId="06502BA7" w14:textId="7794A934"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0.0329</w:t>
            </w:r>
            <w:r>
              <w:rPr>
                <w:rFonts w:ascii="Times New Roman" w:eastAsia="Times New Roman" w:hAnsi="Times New Roman" w:cs="Times New Roman"/>
                <w:i/>
                <w:iCs/>
                <w:sz w:val="18"/>
                <w:szCs w:val="18"/>
                <w:lang w:eastAsia="es-MX"/>
              </w:rPr>
              <w:t>]</w:t>
            </w:r>
          </w:p>
        </w:tc>
        <w:tc>
          <w:tcPr>
            <w:tcW w:w="850" w:type="dxa"/>
            <w:vAlign w:val="center"/>
          </w:tcPr>
          <w:p w14:paraId="6DE5689B"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-3.625</w:t>
            </w:r>
          </w:p>
          <w:p w14:paraId="4CA75E3D" w14:textId="71B81F0C"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0.0278</w:t>
            </w:r>
            <w:r>
              <w:rPr>
                <w:rFonts w:ascii="Times New Roman" w:eastAsia="Times New Roman" w:hAnsi="Times New Roman" w:cs="Times New Roman"/>
                <w:i/>
                <w:iCs/>
                <w:sz w:val="18"/>
                <w:szCs w:val="18"/>
                <w:lang w:eastAsia="es-MX"/>
              </w:rPr>
              <w:t>]</w:t>
            </w:r>
          </w:p>
        </w:tc>
        <w:tc>
          <w:tcPr>
            <w:tcW w:w="850" w:type="dxa"/>
            <w:vAlign w:val="center"/>
          </w:tcPr>
          <w:p w14:paraId="4BD72952" w14:textId="2A56568F" w:rsidR="00F35446"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-2.362</w:t>
            </w:r>
          </w:p>
        </w:tc>
        <w:tc>
          <w:tcPr>
            <w:tcW w:w="850" w:type="dxa"/>
            <w:vAlign w:val="center"/>
          </w:tcPr>
          <w:p w14:paraId="78968457"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-3.360</w:t>
            </w:r>
          </w:p>
          <w:p w14:paraId="1858FC7E" w14:textId="40072FCC"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0.0124</w:t>
            </w:r>
            <w:r>
              <w:rPr>
                <w:rFonts w:ascii="Times New Roman" w:eastAsia="Times New Roman" w:hAnsi="Times New Roman" w:cs="Times New Roman"/>
                <w:i/>
                <w:iCs/>
                <w:sz w:val="18"/>
                <w:szCs w:val="18"/>
                <w:lang w:eastAsia="es-MX"/>
              </w:rPr>
              <w:t>]</w:t>
            </w:r>
          </w:p>
        </w:tc>
        <w:tc>
          <w:tcPr>
            <w:tcW w:w="850" w:type="dxa"/>
            <w:vAlign w:val="center"/>
          </w:tcPr>
          <w:p w14:paraId="2CE53A1D" w14:textId="77777777" w:rsidR="00F35446" w:rsidRDefault="00BF05E7" w:rsidP="002F5C66">
            <w:pPr>
              <w:spacing w:after="0" w:line="240" w:lineRule="auto"/>
              <w:jc w:val="center"/>
              <w:rPr>
                <w:rFonts w:ascii="Times New Roman" w:eastAsia="Times New Roman" w:hAnsi="Times New Roman" w:cs="Times New Roman"/>
                <w:i/>
                <w:iCs/>
                <w:sz w:val="18"/>
                <w:szCs w:val="18"/>
                <w:lang w:eastAsia="es-MX"/>
              </w:rPr>
            </w:pPr>
            <w:r w:rsidRPr="00BF05E7">
              <w:rPr>
                <w:rFonts w:ascii="Times New Roman" w:eastAsia="Times New Roman" w:hAnsi="Times New Roman" w:cs="Times New Roman"/>
                <w:i/>
                <w:iCs/>
                <w:sz w:val="18"/>
                <w:szCs w:val="18"/>
                <w:lang w:eastAsia="es-MX"/>
              </w:rPr>
              <w:t>-3.287</w:t>
            </w:r>
          </w:p>
          <w:p w14:paraId="28DB2F1D" w14:textId="1199521E" w:rsidR="00BF05E7" w:rsidRPr="00E53A29" w:rsidRDefault="00BF05E7" w:rsidP="002F5C6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BF05E7">
              <w:rPr>
                <w:rFonts w:ascii="Times New Roman" w:eastAsia="Times New Roman" w:hAnsi="Times New Roman" w:cs="Times New Roman"/>
                <w:i/>
                <w:iCs/>
                <w:sz w:val="18"/>
                <w:szCs w:val="18"/>
                <w:lang w:eastAsia="es-MX"/>
              </w:rPr>
              <w:t>0.0684</w:t>
            </w:r>
            <w:r>
              <w:rPr>
                <w:rFonts w:ascii="Times New Roman" w:eastAsia="Times New Roman" w:hAnsi="Times New Roman" w:cs="Times New Roman"/>
                <w:i/>
                <w:iCs/>
                <w:sz w:val="18"/>
                <w:szCs w:val="18"/>
                <w:lang w:eastAsia="es-MX"/>
              </w:rPr>
              <w:t>]</w:t>
            </w:r>
          </w:p>
        </w:tc>
        <w:tc>
          <w:tcPr>
            <w:tcW w:w="737" w:type="dxa"/>
            <w:vAlign w:val="center"/>
          </w:tcPr>
          <w:p w14:paraId="0E943928" w14:textId="41F0048B" w:rsidR="00F35446" w:rsidRPr="00E53A29" w:rsidRDefault="00BF05E7" w:rsidP="00F35446">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2</w:t>
            </w:r>
          </w:p>
        </w:tc>
        <w:tc>
          <w:tcPr>
            <w:tcW w:w="907" w:type="dxa"/>
            <w:vAlign w:val="center"/>
          </w:tcPr>
          <w:p w14:paraId="71106DE5" w14:textId="7F808C7B" w:rsidR="00F35446" w:rsidRPr="00E53A29" w:rsidRDefault="00540EC4" w:rsidP="002F5C66">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267532" w:rsidRPr="001B429D" w14:paraId="344DF39C" w14:textId="77777777" w:rsidTr="00267532">
        <w:trPr>
          <w:trHeight w:val="283"/>
          <w:jc w:val="center"/>
        </w:trPr>
        <w:tc>
          <w:tcPr>
            <w:tcW w:w="1415" w:type="dxa"/>
            <w:tcBorders>
              <w:bottom w:val="single" w:sz="4" w:space="0" w:color="auto"/>
            </w:tcBorders>
            <w:vAlign w:val="center"/>
          </w:tcPr>
          <w:p w14:paraId="3EC7A6D0" w14:textId="3716BEBA"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proofErr w:type="spellStart"/>
            <w:r>
              <w:rPr>
                <w:rFonts w:ascii="Times New Roman" w:eastAsia="Times New Roman" w:hAnsi="Times New Roman" w:cs="Times New Roman"/>
                <w:i/>
                <w:iCs/>
                <w:sz w:val="18"/>
                <w:szCs w:val="18"/>
                <w:lang w:eastAsia="es-MX"/>
              </w:rPr>
              <w:t>dlnpl</w:t>
            </w:r>
            <w:proofErr w:type="spellEnd"/>
          </w:p>
        </w:tc>
        <w:tc>
          <w:tcPr>
            <w:tcW w:w="850" w:type="dxa"/>
            <w:tcBorders>
              <w:bottom w:val="single" w:sz="4" w:space="0" w:color="auto"/>
            </w:tcBorders>
            <w:shd w:val="clear" w:color="auto" w:fill="auto"/>
            <w:noWrap/>
            <w:vAlign w:val="center"/>
          </w:tcPr>
          <w:p w14:paraId="0C574C36" w14:textId="2CAA702D"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-7.346</w:t>
            </w:r>
          </w:p>
        </w:tc>
        <w:tc>
          <w:tcPr>
            <w:tcW w:w="849" w:type="dxa"/>
            <w:tcBorders>
              <w:bottom w:val="single" w:sz="4" w:space="0" w:color="auto"/>
            </w:tcBorders>
            <w:vAlign w:val="center"/>
          </w:tcPr>
          <w:p w14:paraId="31F04C16" w14:textId="77777777" w:rsidR="00267532" w:rsidRDefault="00267532" w:rsidP="00267532">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-9.058</w:t>
            </w:r>
          </w:p>
          <w:p w14:paraId="0C137482" w14:textId="17F3D0BA"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tcBorders>
              <w:bottom w:val="single" w:sz="4" w:space="0" w:color="auto"/>
            </w:tcBorders>
            <w:vAlign w:val="center"/>
          </w:tcPr>
          <w:p w14:paraId="1D257339" w14:textId="77777777" w:rsidR="00267532" w:rsidRDefault="00267532" w:rsidP="00267532">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-9.001</w:t>
            </w:r>
          </w:p>
          <w:p w14:paraId="61695E3D" w14:textId="2C7AD8AB"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tcBorders>
              <w:bottom w:val="single" w:sz="4" w:space="0" w:color="auto"/>
            </w:tcBorders>
            <w:vAlign w:val="center"/>
          </w:tcPr>
          <w:p w14:paraId="22514126" w14:textId="38B72B9E"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-7.346</w:t>
            </w:r>
          </w:p>
        </w:tc>
        <w:tc>
          <w:tcPr>
            <w:tcW w:w="850" w:type="dxa"/>
            <w:tcBorders>
              <w:bottom w:val="single" w:sz="4" w:space="0" w:color="auto"/>
            </w:tcBorders>
            <w:vAlign w:val="center"/>
          </w:tcPr>
          <w:p w14:paraId="66111E11" w14:textId="77777777" w:rsidR="00267532" w:rsidRDefault="00267532" w:rsidP="00267532">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-9.058</w:t>
            </w:r>
          </w:p>
          <w:p w14:paraId="223D135E" w14:textId="39BB71EE"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850" w:type="dxa"/>
            <w:tcBorders>
              <w:bottom w:val="single" w:sz="4" w:space="0" w:color="auto"/>
            </w:tcBorders>
            <w:vAlign w:val="center"/>
          </w:tcPr>
          <w:p w14:paraId="670E85AF" w14:textId="77777777" w:rsidR="00267532" w:rsidRDefault="00267532" w:rsidP="00267532">
            <w:pPr>
              <w:spacing w:after="0" w:line="240" w:lineRule="auto"/>
              <w:jc w:val="center"/>
              <w:rPr>
                <w:rFonts w:ascii="Times New Roman" w:eastAsia="Times New Roman" w:hAnsi="Times New Roman" w:cs="Times New Roman"/>
                <w:i/>
                <w:iCs/>
                <w:sz w:val="18"/>
                <w:szCs w:val="18"/>
                <w:lang w:eastAsia="es-MX"/>
              </w:rPr>
            </w:pPr>
            <w:r w:rsidRPr="00267532">
              <w:rPr>
                <w:rFonts w:ascii="Times New Roman" w:eastAsia="Times New Roman" w:hAnsi="Times New Roman" w:cs="Times New Roman"/>
                <w:i/>
                <w:iCs/>
                <w:sz w:val="18"/>
                <w:szCs w:val="18"/>
                <w:lang w:eastAsia="es-MX"/>
              </w:rPr>
              <w:t>-9.001</w:t>
            </w:r>
          </w:p>
          <w:p w14:paraId="1C1CB858" w14:textId="332B7CB1"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w:t>
            </w:r>
            <w:r w:rsidRPr="00540EC4">
              <w:rPr>
                <w:rFonts w:ascii="Times New Roman" w:eastAsia="Times New Roman" w:hAnsi="Times New Roman" w:cs="Times New Roman"/>
                <w:i/>
                <w:iCs/>
                <w:sz w:val="18"/>
                <w:szCs w:val="18"/>
                <w:lang w:eastAsia="es-MX"/>
              </w:rPr>
              <w:t>0.0000</w:t>
            </w:r>
            <w:r>
              <w:rPr>
                <w:rFonts w:ascii="Times New Roman" w:eastAsia="Times New Roman" w:hAnsi="Times New Roman" w:cs="Times New Roman"/>
                <w:i/>
                <w:iCs/>
                <w:sz w:val="18"/>
                <w:szCs w:val="18"/>
                <w:lang w:eastAsia="es-MX"/>
              </w:rPr>
              <w:t>]</w:t>
            </w:r>
          </w:p>
        </w:tc>
        <w:tc>
          <w:tcPr>
            <w:tcW w:w="737" w:type="dxa"/>
            <w:tcBorders>
              <w:bottom w:val="single" w:sz="4" w:space="0" w:color="auto"/>
            </w:tcBorders>
            <w:vAlign w:val="center"/>
          </w:tcPr>
          <w:p w14:paraId="1D0A684D" w14:textId="265B5E48"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r>
              <w:rPr>
                <w:rFonts w:ascii="Times New Roman" w:eastAsia="Times New Roman" w:hAnsi="Times New Roman" w:cs="Times New Roman"/>
                <w:i/>
                <w:iCs/>
                <w:sz w:val="18"/>
                <w:szCs w:val="18"/>
                <w:lang w:eastAsia="es-MX"/>
              </w:rPr>
              <w:t>0</w:t>
            </w:r>
          </w:p>
        </w:tc>
        <w:tc>
          <w:tcPr>
            <w:tcW w:w="907" w:type="dxa"/>
            <w:tcBorders>
              <w:bottom w:val="single" w:sz="4" w:space="0" w:color="auto"/>
            </w:tcBorders>
            <w:vAlign w:val="center"/>
          </w:tcPr>
          <w:p w14:paraId="5C75F53C" w14:textId="019A4A5E" w:rsidR="00267532" w:rsidRPr="00E53A29" w:rsidRDefault="00267532" w:rsidP="00267532">
            <w:pPr>
              <w:spacing w:after="0" w:line="240" w:lineRule="auto"/>
              <w:jc w:val="center"/>
              <w:rPr>
                <w:rFonts w:ascii="Times New Roman" w:eastAsia="Times New Roman" w:hAnsi="Times New Roman" w:cs="Times New Roman"/>
                <w:i/>
                <w:iCs/>
                <w:sz w:val="18"/>
                <w:szCs w:val="18"/>
                <w:lang w:eastAsia="es-MX"/>
              </w:rPr>
            </w:pPr>
            <w:proofErr w:type="gramStart"/>
            <w:r>
              <w:rPr>
                <w:rFonts w:ascii="Times New Roman" w:eastAsia="Times New Roman" w:hAnsi="Times New Roman" w:cs="Times New Roman"/>
                <w:i/>
                <w:iCs/>
                <w:sz w:val="18"/>
                <w:szCs w:val="18"/>
                <w:lang w:eastAsia="es-MX"/>
              </w:rPr>
              <w:t>I(</w:t>
            </w:r>
            <w:proofErr w:type="gramEnd"/>
            <w:r>
              <w:rPr>
                <w:rFonts w:ascii="Times New Roman" w:eastAsia="Times New Roman" w:hAnsi="Times New Roman" w:cs="Times New Roman"/>
                <w:i/>
                <w:iCs/>
                <w:sz w:val="18"/>
                <w:szCs w:val="18"/>
                <w:lang w:eastAsia="es-MX"/>
              </w:rPr>
              <w:t>0)</w:t>
            </w:r>
          </w:p>
        </w:tc>
      </w:tr>
      <w:tr w:rsidR="00267532" w:rsidRPr="001B429D" w14:paraId="2EF6764B" w14:textId="77777777" w:rsidTr="00267532">
        <w:trPr>
          <w:trHeight w:val="113"/>
          <w:jc w:val="center"/>
        </w:trPr>
        <w:tc>
          <w:tcPr>
            <w:tcW w:w="8158" w:type="dxa"/>
            <w:gridSpan w:val="9"/>
            <w:tcBorders>
              <w:top w:val="single" w:sz="4" w:space="0" w:color="auto"/>
            </w:tcBorders>
          </w:tcPr>
          <w:p w14:paraId="062F2535" w14:textId="3C2A6384" w:rsidR="00267532" w:rsidRDefault="00267532" w:rsidP="00267532">
            <w:pPr>
              <w:spacing w:after="0" w:line="240" w:lineRule="auto"/>
              <w:jc w:val="both"/>
              <w:rPr>
                <w:rFonts w:ascii="Times New Roman" w:eastAsia="Times New Roman" w:hAnsi="Times New Roman" w:cs="Times New Roman"/>
                <w:color w:val="000000"/>
                <w:sz w:val="20"/>
                <w:szCs w:val="20"/>
              </w:rPr>
            </w:pPr>
            <w:r w:rsidRPr="00BE520D">
              <w:rPr>
                <w:rFonts w:ascii="Times New Roman" w:eastAsiaTheme="minorEastAsia" w:hAnsi="Times New Roman" w:cs="Times New Roman"/>
                <w:i/>
                <w:iCs/>
                <w:sz w:val="20"/>
                <w:szCs w:val="20"/>
              </w:rPr>
              <w:t>p</w:t>
            </w:r>
            <w:r w:rsidRPr="00960C84">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índice precios al consumidor</w:t>
            </w:r>
            <w:r w:rsidRPr="00960C84">
              <w:rPr>
                <w:rFonts w:ascii="Times New Roman" w:eastAsiaTheme="minorEastAsia" w:hAnsi="Times New Roman" w:cs="Times New Roman"/>
                <w:sz w:val="20"/>
                <w:szCs w:val="20"/>
              </w:rPr>
              <w:t>;</w:t>
            </w:r>
            <w:r>
              <w:rPr>
                <w:rFonts w:ascii="Times New Roman" w:eastAsiaTheme="minorEastAsia" w:hAnsi="Times New Roman" w:cs="Times New Roman"/>
                <w:sz w:val="18"/>
                <w:szCs w:val="18"/>
              </w:rPr>
              <w:t xml:space="preserve"> </w:t>
            </w:r>
            <w:r w:rsidRPr="00BE520D">
              <w:rPr>
                <w:rFonts w:ascii="Times New Roman" w:eastAsiaTheme="minorEastAsia" w:hAnsi="Times New Roman" w:cs="Times New Roman"/>
                <w:i/>
                <w:iCs/>
                <w:sz w:val="18"/>
                <w:szCs w:val="18"/>
              </w:rPr>
              <w:t>y</w:t>
            </w:r>
            <w:r w:rsidRPr="00960C84">
              <w:rPr>
                <w:rFonts w:ascii="Times New Roman" w:eastAsiaTheme="minorEastAsia" w:hAnsi="Times New Roman" w:cs="Times New Roman"/>
                <w:sz w:val="20"/>
                <w:szCs w:val="20"/>
              </w:rPr>
              <w:t xml:space="preserve">: producto interno bruto; </w:t>
            </w:r>
            <m:oMath>
              <m:r>
                <w:rPr>
                  <w:rFonts w:ascii="Cambria Math" w:eastAsiaTheme="minorEastAsia" w:hAnsi="Cambria Math" w:cs="Times New Roman"/>
                  <w:sz w:val="20"/>
                  <w:szCs w:val="20"/>
                </w:rPr>
                <m:t>d</m:t>
              </m:r>
              <m:r>
                <w:rPr>
                  <w:rFonts w:ascii="Cambria Math" w:hAnsi="Cambria Math" w:cs="Times New Roman"/>
                  <w:sz w:val="20"/>
                  <w:szCs w:val="20"/>
                </w:rPr>
                <m:t>euda</m:t>
              </m:r>
            </m:oMath>
            <w:r w:rsidRPr="00960C84">
              <w:rPr>
                <w:rFonts w:ascii="Times New Roman" w:eastAsiaTheme="minorEastAsia" w:hAnsi="Times New Roman" w:cs="Times New Roman"/>
                <w:sz w:val="20"/>
                <w:szCs w:val="20"/>
              </w:rPr>
              <w:t>: deuda federal;</w:t>
            </w:r>
            <w:r>
              <w:rPr>
                <w:rFonts w:ascii="Times New Roman" w:eastAsiaTheme="minorEastAsia" w:hAnsi="Times New Roman" w:cs="Times New Roman"/>
                <w:sz w:val="20"/>
                <w:szCs w:val="20"/>
              </w:rPr>
              <w:t xml:space="preserve"> </w:t>
            </w:r>
            <w:proofErr w:type="spellStart"/>
            <w:r w:rsidRPr="00BE520D">
              <w:rPr>
                <w:rFonts w:ascii="Times New Roman" w:eastAsiaTheme="minorEastAsia" w:hAnsi="Times New Roman" w:cs="Times New Roman"/>
                <w:i/>
                <w:iCs/>
                <w:sz w:val="20"/>
                <w:szCs w:val="20"/>
              </w:rPr>
              <w:t>ib</w:t>
            </w:r>
            <w:proofErr w:type="spellEnd"/>
            <w:r w:rsidRPr="00960C84">
              <w:rPr>
                <w:rFonts w:ascii="Times New Roman" w:eastAsiaTheme="minorEastAsia" w:hAnsi="Times New Roman" w:cs="Times New Roman"/>
                <w:sz w:val="20"/>
                <w:szCs w:val="20"/>
              </w:rPr>
              <w:t xml:space="preserve">: índice bursátil NASDAQ; </w:t>
            </w:r>
            <w:r w:rsidRPr="00BE520D">
              <w:rPr>
                <w:rFonts w:ascii="Times New Roman" w:eastAsiaTheme="minorEastAsia" w:hAnsi="Times New Roman" w:cs="Times New Roman"/>
                <w:i/>
                <w:iCs/>
                <w:sz w:val="20"/>
                <w:szCs w:val="20"/>
              </w:rPr>
              <w:t>e</w:t>
            </w:r>
            <w:r w:rsidRPr="00960C84">
              <w:rPr>
                <w:rFonts w:ascii="Times New Roman" w:eastAsiaTheme="minorEastAsia" w:hAnsi="Times New Roman" w:cs="Times New Roman"/>
                <w:sz w:val="20"/>
                <w:szCs w:val="20"/>
              </w:rPr>
              <w:t>: tipo de cambio (canasta);</w:t>
            </w:r>
            <w:r>
              <w:rPr>
                <w:rFonts w:ascii="Times New Roman" w:eastAsiaTheme="minorEastAsia" w:hAnsi="Times New Roman" w:cs="Times New Roman"/>
                <w:sz w:val="20"/>
                <w:szCs w:val="20"/>
              </w:rPr>
              <w:t xml:space="preserve"> </w:t>
            </w:r>
            <w:r w:rsidRPr="00BE520D">
              <w:rPr>
                <w:rFonts w:ascii="Times New Roman" w:eastAsiaTheme="minorEastAsia" w:hAnsi="Times New Roman" w:cs="Times New Roman"/>
                <w:i/>
                <w:iCs/>
                <w:sz w:val="20"/>
                <w:szCs w:val="20"/>
              </w:rPr>
              <w:t>i</w:t>
            </w:r>
            <w:r w:rsidRPr="00960C84">
              <w:rPr>
                <w:rFonts w:ascii="Times New Roman" w:eastAsiaTheme="minorEastAsia" w:hAnsi="Times New Roman" w:cs="Times New Roman"/>
                <w:sz w:val="20"/>
                <w:szCs w:val="20"/>
              </w:rPr>
              <w:t>: tasa de interés;</w:t>
            </w:r>
            <w:r>
              <w:rPr>
                <w:rFonts w:ascii="Times New Roman" w:eastAsiaTheme="minorEastAsia" w:hAnsi="Times New Roman" w:cs="Times New Roman"/>
                <w:sz w:val="20"/>
                <w:szCs w:val="20"/>
              </w:rPr>
              <w:t xml:space="preserve"> </w:t>
            </w:r>
            <w:r w:rsidRPr="00BE520D">
              <w:rPr>
                <w:rFonts w:ascii="Times New Roman" w:eastAsiaTheme="minorEastAsia" w:hAnsi="Times New Roman" w:cs="Times New Roman"/>
                <w:i/>
                <w:iCs/>
                <w:sz w:val="20"/>
                <w:szCs w:val="20"/>
              </w:rPr>
              <w:t>k</w:t>
            </w:r>
            <w:r w:rsidRPr="00960C84">
              <w:rPr>
                <w:rFonts w:ascii="Times New Roman" w:eastAsiaTheme="minorEastAsia" w:hAnsi="Times New Roman" w:cs="Times New Roman"/>
                <w:iCs/>
                <w:sz w:val="20"/>
                <w:szCs w:val="20"/>
              </w:rPr>
              <w:t>; acervo de capital;</w:t>
            </w:r>
            <w:r>
              <w:rPr>
                <w:rFonts w:ascii="Times New Roman" w:eastAsiaTheme="minorEastAsia" w:hAnsi="Times New Roman" w:cs="Times New Roman"/>
                <w:iCs/>
                <w:sz w:val="20"/>
                <w:szCs w:val="20"/>
              </w:rPr>
              <w:t xml:space="preserve"> </w:t>
            </w:r>
            <w:proofErr w:type="spellStart"/>
            <w:r w:rsidRPr="00BE520D">
              <w:rPr>
                <w:rFonts w:ascii="Times New Roman" w:eastAsiaTheme="minorEastAsia" w:hAnsi="Times New Roman" w:cs="Times New Roman"/>
                <w:i/>
                <w:sz w:val="20"/>
                <w:szCs w:val="20"/>
              </w:rPr>
              <w:t>pl</w:t>
            </w:r>
            <w:proofErr w:type="spellEnd"/>
            <w:r w:rsidRPr="00960C84">
              <w:rPr>
                <w:rFonts w:ascii="Times New Roman" w:eastAsiaTheme="minorEastAsia" w:hAnsi="Times New Roman" w:cs="Times New Roman"/>
                <w:iCs/>
                <w:sz w:val="20"/>
                <w:szCs w:val="20"/>
              </w:rPr>
              <w:t>: productividad laboral</w:t>
            </w:r>
            <w:r>
              <w:rPr>
                <w:rFonts w:ascii="Times New Roman" w:eastAsiaTheme="minorEastAsia" w:hAnsi="Times New Roman" w:cs="Times New Roman"/>
                <w:iCs/>
                <w:sz w:val="20"/>
                <w:szCs w:val="20"/>
              </w:rPr>
              <w:t xml:space="preserve">; </w:t>
            </w:r>
            <w:r w:rsidRPr="00BE520D">
              <w:rPr>
                <w:rFonts w:ascii="Times New Roman" w:eastAsiaTheme="minorEastAsia" w:hAnsi="Times New Roman" w:cs="Times New Roman"/>
                <w:i/>
                <w:sz w:val="20"/>
                <w:szCs w:val="20"/>
              </w:rPr>
              <w:t>m</w:t>
            </w:r>
            <w:r>
              <w:rPr>
                <w:rFonts w:ascii="Times New Roman" w:eastAsiaTheme="minorEastAsia" w:hAnsi="Times New Roman" w:cs="Times New Roman"/>
                <w:iCs/>
                <w:sz w:val="20"/>
                <w:szCs w:val="20"/>
              </w:rPr>
              <w:t xml:space="preserve">: oferta monetaria. </w:t>
            </w:r>
            <w:r w:rsidRPr="00960C84">
              <w:rPr>
                <w:rFonts w:ascii="Times New Roman" w:eastAsia="Times New Roman" w:hAnsi="Times New Roman" w:cs="Times New Roman"/>
                <w:color w:val="000000"/>
                <w:sz w:val="20"/>
                <w:szCs w:val="20"/>
              </w:rPr>
              <w:t>Valor-p estimados entre corchetes</w:t>
            </w:r>
            <w:r>
              <w:rPr>
                <w:rFonts w:ascii="Times New Roman" w:eastAsia="Times New Roman" w:hAnsi="Times New Roman" w:cs="Times New Roman"/>
                <w:color w:val="000000"/>
                <w:sz w:val="20"/>
                <w:szCs w:val="20"/>
              </w:rPr>
              <w:t>.</w:t>
            </w:r>
          </w:p>
          <w:p w14:paraId="1EBC0AC9" w14:textId="59B31594" w:rsidR="00267532" w:rsidRPr="00E53A29" w:rsidRDefault="00267532" w:rsidP="00267532">
            <w:pPr>
              <w:spacing w:after="0" w:line="240" w:lineRule="auto"/>
              <w:jc w:val="both"/>
              <w:rPr>
                <w:rFonts w:ascii="Times New Roman" w:eastAsia="Times New Roman" w:hAnsi="Times New Roman" w:cs="Times New Roman"/>
                <w:i/>
                <w:iCs/>
                <w:sz w:val="18"/>
                <w:szCs w:val="18"/>
                <w:lang w:eastAsia="es-MX"/>
              </w:rPr>
            </w:pPr>
            <w:r w:rsidRPr="00960C84">
              <w:rPr>
                <w:rFonts w:ascii="Times New Roman" w:hAnsi="Times New Roman" w:cs="Times New Roman"/>
                <w:sz w:val="20"/>
                <w:szCs w:val="20"/>
              </w:rPr>
              <w:t>Fuente: Elaboración de los autores</w:t>
            </w:r>
          </w:p>
        </w:tc>
      </w:tr>
    </w:tbl>
    <w:p w14:paraId="34173162" w14:textId="77777777" w:rsidR="00F52072" w:rsidRPr="00160163" w:rsidRDefault="00F52072" w:rsidP="00160163">
      <w:pPr>
        <w:spacing w:after="0" w:line="360" w:lineRule="auto"/>
        <w:jc w:val="both"/>
        <w:rPr>
          <w:rFonts w:ascii="Times New Roman" w:hAnsi="Times New Roman" w:cs="Times New Roman"/>
          <w:b/>
          <w:bCs/>
          <w:sz w:val="24"/>
          <w:szCs w:val="24"/>
        </w:rPr>
      </w:pPr>
    </w:p>
    <w:tbl>
      <w:tblPr>
        <w:tblStyle w:val="Tablaconcuadrcula"/>
        <w:tblW w:w="0" w:type="auto"/>
        <w:jc w:val="center"/>
        <w:tblLook w:val="04A0" w:firstRow="1" w:lastRow="0" w:firstColumn="1" w:lastColumn="0" w:noHBand="0" w:noVBand="1"/>
      </w:tblPr>
      <w:tblGrid>
        <w:gridCol w:w="1701"/>
        <w:gridCol w:w="1077"/>
        <w:gridCol w:w="850"/>
        <w:gridCol w:w="850"/>
        <w:gridCol w:w="850"/>
        <w:gridCol w:w="850"/>
        <w:gridCol w:w="850"/>
        <w:gridCol w:w="850"/>
      </w:tblGrid>
      <w:tr w:rsidR="007967F7" w:rsidRPr="00C37CE9" w14:paraId="697D77D7" w14:textId="77777777" w:rsidTr="00960C84">
        <w:trPr>
          <w:jc w:val="center"/>
        </w:trPr>
        <w:tc>
          <w:tcPr>
            <w:tcW w:w="7878" w:type="dxa"/>
            <w:gridSpan w:val="8"/>
            <w:tcBorders>
              <w:top w:val="nil"/>
              <w:left w:val="nil"/>
              <w:bottom w:val="single" w:sz="4" w:space="0" w:color="auto"/>
              <w:right w:val="nil"/>
            </w:tcBorders>
            <w:vAlign w:val="center"/>
          </w:tcPr>
          <w:p w14:paraId="25AC1724" w14:textId="6EA73D20" w:rsidR="00960C84" w:rsidRDefault="00960C84" w:rsidP="00312768">
            <w:pPr>
              <w:rPr>
                <w:rFonts w:ascii="Times New Roman" w:eastAsia="Times New Roman" w:hAnsi="Times New Roman"/>
                <w:b/>
                <w:bCs/>
                <w:sz w:val="24"/>
                <w:szCs w:val="24"/>
              </w:rPr>
            </w:pPr>
            <w:r>
              <w:rPr>
                <w:rFonts w:ascii="Times New Roman" w:eastAsia="Times New Roman" w:hAnsi="Times New Roman"/>
                <w:b/>
                <w:bCs/>
                <w:sz w:val="24"/>
                <w:szCs w:val="24"/>
              </w:rPr>
              <w:t xml:space="preserve">Tabla </w:t>
            </w:r>
            <w:r w:rsidR="00262E1C">
              <w:rPr>
                <w:rFonts w:ascii="Times New Roman" w:eastAsia="Times New Roman" w:hAnsi="Times New Roman"/>
                <w:b/>
                <w:bCs/>
                <w:sz w:val="24"/>
                <w:szCs w:val="24"/>
              </w:rPr>
              <w:t>2</w:t>
            </w:r>
            <w:r w:rsidR="00F9083E">
              <w:rPr>
                <w:rFonts w:ascii="Times New Roman" w:eastAsia="Times New Roman" w:hAnsi="Times New Roman"/>
                <w:b/>
                <w:bCs/>
                <w:sz w:val="24"/>
                <w:szCs w:val="24"/>
              </w:rPr>
              <w:t>A</w:t>
            </w:r>
          </w:p>
          <w:p w14:paraId="714E7222" w14:textId="53486B70" w:rsidR="007967F7" w:rsidRPr="00960C84" w:rsidRDefault="007967F7" w:rsidP="00312768">
            <w:pPr>
              <w:rPr>
                <w:rFonts w:ascii="Times New Roman" w:eastAsia="Times New Roman" w:hAnsi="Times New Roman"/>
                <w:b/>
                <w:bCs/>
                <w:sz w:val="24"/>
                <w:szCs w:val="24"/>
              </w:rPr>
            </w:pPr>
            <w:r w:rsidRPr="00960C84">
              <w:rPr>
                <w:rFonts w:ascii="Times New Roman" w:eastAsia="Times New Roman" w:hAnsi="Times New Roman"/>
                <w:b/>
                <w:bCs/>
                <w:sz w:val="24"/>
                <w:szCs w:val="24"/>
              </w:rPr>
              <w:t>Prueba de Cointegración de Pesaran, Shin y Smith</w:t>
            </w:r>
          </w:p>
        </w:tc>
      </w:tr>
      <w:tr w:rsidR="007967F7" w:rsidRPr="00C37CE9" w14:paraId="3BDB11B1" w14:textId="77777777" w:rsidTr="00960C84">
        <w:trPr>
          <w:jc w:val="center"/>
        </w:trPr>
        <w:tc>
          <w:tcPr>
            <w:tcW w:w="1701" w:type="dxa"/>
            <w:vMerge w:val="restart"/>
            <w:tcBorders>
              <w:top w:val="single" w:sz="4" w:space="0" w:color="auto"/>
              <w:left w:val="nil"/>
              <w:bottom w:val="nil"/>
              <w:right w:val="nil"/>
            </w:tcBorders>
            <w:vAlign w:val="center"/>
          </w:tcPr>
          <w:p w14:paraId="0D6B514B" w14:textId="77777777" w:rsidR="007967F7" w:rsidRPr="00AD3095" w:rsidRDefault="007967F7" w:rsidP="00312768">
            <w:pPr>
              <w:jc w:val="center"/>
              <w:rPr>
                <w:rFonts w:ascii="Times New Roman" w:hAnsi="Times New Roman" w:cs="Times New Roman"/>
                <w:i/>
                <w:sz w:val="16"/>
                <w:szCs w:val="16"/>
              </w:rPr>
            </w:pPr>
            <w:r>
              <w:rPr>
                <w:rFonts w:ascii="Times New Roman" w:hAnsi="Times New Roman" w:cs="Times New Roman"/>
                <w:i/>
                <w:sz w:val="16"/>
                <w:szCs w:val="16"/>
              </w:rPr>
              <w:t>Especificación</w:t>
            </w:r>
          </w:p>
        </w:tc>
        <w:tc>
          <w:tcPr>
            <w:tcW w:w="1077" w:type="dxa"/>
            <w:vMerge w:val="restart"/>
            <w:tcBorders>
              <w:top w:val="single" w:sz="4" w:space="0" w:color="auto"/>
              <w:left w:val="nil"/>
              <w:bottom w:val="nil"/>
              <w:right w:val="nil"/>
            </w:tcBorders>
            <w:vAlign w:val="center"/>
          </w:tcPr>
          <w:p w14:paraId="691A6A15" w14:textId="77777777" w:rsidR="007967F7" w:rsidRPr="00C37CE9" w:rsidRDefault="007967F7" w:rsidP="00312768">
            <w:pPr>
              <w:jc w:val="center"/>
              <w:rPr>
                <w:rFonts w:ascii="Times New Roman" w:hAnsi="Times New Roman" w:cs="Times New Roman"/>
                <w:i/>
                <w:sz w:val="16"/>
                <w:szCs w:val="16"/>
              </w:rPr>
            </w:pPr>
            <w:r w:rsidRPr="00C37CE9">
              <w:rPr>
                <w:rFonts w:ascii="Times New Roman" w:hAnsi="Times New Roman" w:cs="Times New Roman"/>
                <w:i/>
                <w:sz w:val="16"/>
                <w:szCs w:val="16"/>
              </w:rPr>
              <w:t>Estadístico</w:t>
            </w:r>
          </w:p>
        </w:tc>
        <w:tc>
          <w:tcPr>
            <w:tcW w:w="1700" w:type="dxa"/>
            <w:gridSpan w:val="2"/>
            <w:tcBorders>
              <w:top w:val="single" w:sz="4" w:space="0" w:color="auto"/>
              <w:left w:val="nil"/>
              <w:bottom w:val="nil"/>
              <w:right w:val="nil"/>
            </w:tcBorders>
          </w:tcPr>
          <w:p w14:paraId="35649E8B" w14:textId="77777777" w:rsidR="007967F7" w:rsidRPr="00C37CE9" w:rsidRDefault="007967F7" w:rsidP="00312768">
            <w:pPr>
              <w:jc w:val="center"/>
              <w:rPr>
                <w:rFonts w:ascii="Times New Roman" w:hAnsi="Times New Roman" w:cs="Times New Roman"/>
                <w:i/>
                <w:sz w:val="16"/>
                <w:szCs w:val="16"/>
              </w:rPr>
            </w:pPr>
            <w:r w:rsidRPr="00C37CE9">
              <w:rPr>
                <w:rFonts w:ascii="Times New Roman" w:hAnsi="Times New Roman" w:cs="Times New Roman"/>
                <w:i/>
                <w:sz w:val="16"/>
                <w:szCs w:val="16"/>
              </w:rPr>
              <w:t>10%</w:t>
            </w:r>
          </w:p>
        </w:tc>
        <w:tc>
          <w:tcPr>
            <w:tcW w:w="1700" w:type="dxa"/>
            <w:gridSpan w:val="2"/>
            <w:tcBorders>
              <w:top w:val="single" w:sz="4" w:space="0" w:color="auto"/>
              <w:left w:val="nil"/>
              <w:bottom w:val="nil"/>
              <w:right w:val="nil"/>
            </w:tcBorders>
          </w:tcPr>
          <w:p w14:paraId="7022F816" w14:textId="77777777" w:rsidR="007967F7" w:rsidRPr="00C37CE9" w:rsidRDefault="007967F7" w:rsidP="00312768">
            <w:pPr>
              <w:jc w:val="center"/>
              <w:rPr>
                <w:rFonts w:ascii="Times New Roman" w:hAnsi="Times New Roman" w:cs="Times New Roman"/>
                <w:i/>
                <w:sz w:val="16"/>
                <w:szCs w:val="16"/>
              </w:rPr>
            </w:pPr>
            <w:r w:rsidRPr="00C37CE9">
              <w:rPr>
                <w:rFonts w:ascii="Times New Roman" w:hAnsi="Times New Roman" w:cs="Times New Roman"/>
                <w:i/>
                <w:sz w:val="16"/>
                <w:szCs w:val="16"/>
              </w:rPr>
              <w:t>5%</w:t>
            </w:r>
          </w:p>
        </w:tc>
        <w:tc>
          <w:tcPr>
            <w:tcW w:w="1700" w:type="dxa"/>
            <w:gridSpan w:val="2"/>
            <w:tcBorders>
              <w:top w:val="single" w:sz="4" w:space="0" w:color="auto"/>
              <w:left w:val="nil"/>
              <w:bottom w:val="nil"/>
              <w:right w:val="nil"/>
            </w:tcBorders>
          </w:tcPr>
          <w:p w14:paraId="089449AC" w14:textId="77777777" w:rsidR="007967F7" w:rsidRPr="00C37CE9" w:rsidRDefault="007967F7" w:rsidP="00312768">
            <w:pPr>
              <w:jc w:val="center"/>
              <w:rPr>
                <w:rFonts w:ascii="Times New Roman" w:hAnsi="Times New Roman" w:cs="Times New Roman"/>
                <w:i/>
                <w:sz w:val="16"/>
                <w:szCs w:val="16"/>
              </w:rPr>
            </w:pPr>
            <w:r w:rsidRPr="00C37CE9">
              <w:rPr>
                <w:rFonts w:ascii="Times New Roman" w:hAnsi="Times New Roman" w:cs="Times New Roman"/>
                <w:i/>
                <w:sz w:val="16"/>
                <w:szCs w:val="16"/>
              </w:rPr>
              <w:t>1%</w:t>
            </w:r>
          </w:p>
        </w:tc>
      </w:tr>
      <w:tr w:rsidR="007967F7" w:rsidRPr="00C37CE9" w14:paraId="7113B94A" w14:textId="77777777" w:rsidTr="00960C84">
        <w:trPr>
          <w:jc w:val="center"/>
        </w:trPr>
        <w:tc>
          <w:tcPr>
            <w:tcW w:w="1701" w:type="dxa"/>
            <w:vMerge/>
            <w:tcBorders>
              <w:top w:val="nil"/>
              <w:left w:val="nil"/>
              <w:bottom w:val="single" w:sz="4" w:space="0" w:color="auto"/>
              <w:right w:val="nil"/>
            </w:tcBorders>
          </w:tcPr>
          <w:p w14:paraId="5E4294B5" w14:textId="77777777" w:rsidR="007967F7" w:rsidRPr="00AD3095" w:rsidRDefault="007967F7" w:rsidP="00312768">
            <w:pPr>
              <w:jc w:val="center"/>
              <w:rPr>
                <w:rFonts w:ascii="Times New Roman" w:hAnsi="Times New Roman" w:cs="Times New Roman"/>
                <w:i/>
                <w:sz w:val="16"/>
                <w:szCs w:val="16"/>
              </w:rPr>
            </w:pPr>
          </w:p>
        </w:tc>
        <w:tc>
          <w:tcPr>
            <w:tcW w:w="1077" w:type="dxa"/>
            <w:vMerge/>
            <w:tcBorders>
              <w:top w:val="nil"/>
              <w:left w:val="nil"/>
              <w:bottom w:val="single" w:sz="4" w:space="0" w:color="auto"/>
              <w:right w:val="nil"/>
            </w:tcBorders>
          </w:tcPr>
          <w:p w14:paraId="3B4FC2B0" w14:textId="77777777" w:rsidR="007967F7" w:rsidRPr="00C37CE9" w:rsidRDefault="007967F7" w:rsidP="00312768">
            <w:pPr>
              <w:jc w:val="center"/>
              <w:rPr>
                <w:rFonts w:ascii="Times New Roman" w:hAnsi="Times New Roman" w:cs="Times New Roman"/>
                <w:i/>
                <w:sz w:val="16"/>
                <w:szCs w:val="16"/>
              </w:rPr>
            </w:pPr>
          </w:p>
        </w:tc>
        <w:tc>
          <w:tcPr>
            <w:tcW w:w="850" w:type="dxa"/>
            <w:tcBorders>
              <w:top w:val="nil"/>
              <w:left w:val="nil"/>
              <w:bottom w:val="single" w:sz="4" w:space="0" w:color="auto"/>
              <w:right w:val="nil"/>
            </w:tcBorders>
            <w:vAlign w:val="center"/>
          </w:tcPr>
          <w:p w14:paraId="7DECB918" w14:textId="77777777" w:rsidR="007967F7" w:rsidRPr="00C37CE9" w:rsidRDefault="007967F7" w:rsidP="00312768">
            <w:pPr>
              <w:jc w:val="center"/>
              <w:rPr>
                <w:rFonts w:ascii="Times New Roman" w:hAnsi="Times New Roman" w:cs="Times New Roman"/>
                <w:i/>
                <w:sz w:val="16"/>
                <w:szCs w:val="16"/>
              </w:rPr>
            </w:pPr>
            <w:proofErr w:type="gramStart"/>
            <w:r w:rsidRPr="00C37CE9">
              <w:rPr>
                <w:rFonts w:ascii="Times New Roman" w:hAnsi="Times New Roman" w:cs="Times New Roman"/>
                <w:i/>
                <w:sz w:val="16"/>
                <w:szCs w:val="16"/>
              </w:rPr>
              <w:t>I(</w:t>
            </w:r>
            <w:proofErr w:type="gramEnd"/>
            <w:r w:rsidRPr="00C37CE9">
              <w:rPr>
                <w:rFonts w:ascii="Times New Roman" w:hAnsi="Times New Roman" w:cs="Times New Roman"/>
                <w:i/>
                <w:sz w:val="16"/>
                <w:szCs w:val="16"/>
              </w:rPr>
              <w:t>0)</w:t>
            </w:r>
          </w:p>
        </w:tc>
        <w:tc>
          <w:tcPr>
            <w:tcW w:w="850" w:type="dxa"/>
            <w:tcBorders>
              <w:top w:val="nil"/>
              <w:left w:val="nil"/>
              <w:bottom w:val="single" w:sz="4" w:space="0" w:color="auto"/>
              <w:right w:val="nil"/>
            </w:tcBorders>
            <w:vAlign w:val="center"/>
          </w:tcPr>
          <w:p w14:paraId="7D85C1C7" w14:textId="77777777" w:rsidR="007967F7" w:rsidRPr="00C37CE9" w:rsidRDefault="007967F7" w:rsidP="00312768">
            <w:pPr>
              <w:jc w:val="center"/>
              <w:rPr>
                <w:rFonts w:ascii="Times New Roman" w:hAnsi="Times New Roman" w:cs="Times New Roman"/>
                <w:i/>
                <w:sz w:val="16"/>
                <w:szCs w:val="16"/>
              </w:rPr>
            </w:pPr>
            <w:proofErr w:type="gramStart"/>
            <w:r w:rsidRPr="00C37CE9">
              <w:rPr>
                <w:rFonts w:ascii="Times New Roman" w:hAnsi="Times New Roman" w:cs="Times New Roman"/>
                <w:i/>
                <w:sz w:val="16"/>
                <w:szCs w:val="16"/>
              </w:rPr>
              <w:t>I(</w:t>
            </w:r>
            <w:proofErr w:type="gramEnd"/>
            <w:r w:rsidRPr="00C37CE9">
              <w:rPr>
                <w:rFonts w:ascii="Times New Roman" w:hAnsi="Times New Roman" w:cs="Times New Roman"/>
                <w:i/>
                <w:sz w:val="16"/>
                <w:szCs w:val="16"/>
              </w:rPr>
              <w:t>1)</w:t>
            </w:r>
          </w:p>
        </w:tc>
        <w:tc>
          <w:tcPr>
            <w:tcW w:w="850" w:type="dxa"/>
            <w:tcBorders>
              <w:top w:val="nil"/>
              <w:left w:val="nil"/>
              <w:bottom w:val="single" w:sz="4" w:space="0" w:color="auto"/>
              <w:right w:val="nil"/>
            </w:tcBorders>
            <w:vAlign w:val="center"/>
          </w:tcPr>
          <w:p w14:paraId="0F67FD6F" w14:textId="77777777" w:rsidR="007967F7" w:rsidRPr="00C37CE9" w:rsidRDefault="007967F7" w:rsidP="00312768">
            <w:pPr>
              <w:jc w:val="center"/>
              <w:rPr>
                <w:rFonts w:ascii="Times New Roman" w:hAnsi="Times New Roman" w:cs="Times New Roman"/>
                <w:i/>
                <w:sz w:val="16"/>
                <w:szCs w:val="16"/>
              </w:rPr>
            </w:pPr>
            <w:proofErr w:type="gramStart"/>
            <w:r w:rsidRPr="00C37CE9">
              <w:rPr>
                <w:rFonts w:ascii="Times New Roman" w:hAnsi="Times New Roman" w:cs="Times New Roman"/>
                <w:i/>
                <w:sz w:val="16"/>
                <w:szCs w:val="16"/>
              </w:rPr>
              <w:t>I(</w:t>
            </w:r>
            <w:proofErr w:type="gramEnd"/>
            <w:r w:rsidRPr="00C37CE9">
              <w:rPr>
                <w:rFonts w:ascii="Times New Roman" w:hAnsi="Times New Roman" w:cs="Times New Roman"/>
                <w:i/>
                <w:sz w:val="16"/>
                <w:szCs w:val="16"/>
              </w:rPr>
              <w:t>0)</w:t>
            </w:r>
          </w:p>
        </w:tc>
        <w:tc>
          <w:tcPr>
            <w:tcW w:w="850" w:type="dxa"/>
            <w:tcBorders>
              <w:top w:val="nil"/>
              <w:left w:val="nil"/>
              <w:bottom w:val="single" w:sz="4" w:space="0" w:color="auto"/>
              <w:right w:val="nil"/>
            </w:tcBorders>
            <w:vAlign w:val="center"/>
          </w:tcPr>
          <w:p w14:paraId="237254D5" w14:textId="77777777" w:rsidR="007967F7" w:rsidRPr="00C37CE9" w:rsidRDefault="007967F7" w:rsidP="00312768">
            <w:pPr>
              <w:jc w:val="center"/>
              <w:rPr>
                <w:rFonts w:ascii="Times New Roman" w:hAnsi="Times New Roman" w:cs="Times New Roman"/>
                <w:i/>
                <w:sz w:val="16"/>
                <w:szCs w:val="16"/>
              </w:rPr>
            </w:pPr>
            <w:proofErr w:type="gramStart"/>
            <w:r w:rsidRPr="00C37CE9">
              <w:rPr>
                <w:rFonts w:ascii="Times New Roman" w:hAnsi="Times New Roman" w:cs="Times New Roman"/>
                <w:i/>
                <w:sz w:val="16"/>
                <w:szCs w:val="16"/>
              </w:rPr>
              <w:t>I(</w:t>
            </w:r>
            <w:proofErr w:type="gramEnd"/>
            <w:r w:rsidRPr="00C37CE9">
              <w:rPr>
                <w:rFonts w:ascii="Times New Roman" w:hAnsi="Times New Roman" w:cs="Times New Roman"/>
                <w:i/>
                <w:sz w:val="16"/>
                <w:szCs w:val="16"/>
              </w:rPr>
              <w:t>1)</w:t>
            </w:r>
          </w:p>
        </w:tc>
        <w:tc>
          <w:tcPr>
            <w:tcW w:w="850" w:type="dxa"/>
            <w:tcBorders>
              <w:top w:val="nil"/>
              <w:left w:val="nil"/>
              <w:bottom w:val="single" w:sz="4" w:space="0" w:color="auto"/>
              <w:right w:val="nil"/>
            </w:tcBorders>
            <w:vAlign w:val="center"/>
          </w:tcPr>
          <w:p w14:paraId="742D2A1F" w14:textId="77777777" w:rsidR="007967F7" w:rsidRPr="00C37CE9" w:rsidRDefault="007967F7" w:rsidP="00312768">
            <w:pPr>
              <w:jc w:val="center"/>
              <w:rPr>
                <w:rFonts w:ascii="Times New Roman" w:hAnsi="Times New Roman" w:cs="Times New Roman"/>
                <w:i/>
                <w:sz w:val="16"/>
                <w:szCs w:val="16"/>
              </w:rPr>
            </w:pPr>
            <w:proofErr w:type="gramStart"/>
            <w:r w:rsidRPr="00C37CE9">
              <w:rPr>
                <w:rFonts w:ascii="Times New Roman" w:hAnsi="Times New Roman" w:cs="Times New Roman"/>
                <w:i/>
                <w:sz w:val="16"/>
                <w:szCs w:val="16"/>
              </w:rPr>
              <w:t>I(</w:t>
            </w:r>
            <w:proofErr w:type="gramEnd"/>
            <w:r w:rsidRPr="00C37CE9">
              <w:rPr>
                <w:rFonts w:ascii="Times New Roman" w:hAnsi="Times New Roman" w:cs="Times New Roman"/>
                <w:i/>
                <w:sz w:val="16"/>
                <w:szCs w:val="16"/>
              </w:rPr>
              <w:t>0)</w:t>
            </w:r>
          </w:p>
        </w:tc>
        <w:tc>
          <w:tcPr>
            <w:tcW w:w="850" w:type="dxa"/>
            <w:tcBorders>
              <w:top w:val="nil"/>
              <w:left w:val="nil"/>
              <w:bottom w:val="single" w:sz="4" w:space="0" w:color="auto"/>
              <w:right w:val="nil"/>
            </w:tcBorders>
            <w:vAlign w:val="center"/>
          </w:tcPr>
          <w:p w14:paraId="03B5D0B1" w14:textId="77777777" w:rsidR="007967F7" w:rsidRPr="00C37CE9" w:rsidRDefault="007967F7" w:rsidP="00312768">
            <w:pPr>
              <w:jc w:val="center"/>
              <w:rPr>
                <w:rFonts w:ascii="Times New Roman" w:hAnsi="Times New Roman" w:cs="Times New Roman"/>
                <w:i/>
                <w:sz w:val="16"/>
                <w:szCs w:val="16"/>
              </w:rPr>
            </w:pPr>
            <w:proofErr w:type="gramStart"/>
            <w:r w:rsidRPr="00C37CE9">
              <w:rPr>
                <w:rFonts w:ascii="Times New Roman" w:hAnsi="Times New Roman" w:cs="Times New Roman"/>
                <w:i/>
                <w:sz w:val="16"/>
                <w:szCs w:val="16"/>
              </w:rPr>
              <w:t>I(</w:t>
            </w:r>
            <w:proofErr w:type="gramEnd"/>
            <w:r w:rsidRPr="00C37CE9">
              <w:rPr>
                <w:rFonts w:ascii="Times New Roman" w:hAnsi="Times New Roman" w:cs="Times New Roman"/>
                <w:i/>
                <w:sz w:val="16"/>
                <w:szCs w:val="16"/>
              </w:rPr>
              <w:t>1)</w:t>
            </w:r>
          </w:p>
        </w:tc>
      </w:tr>
      <w:tr w:rsidR="007967F7" w:rsidRPr="00C37CE9" w14:paraId="39A463D7" w14:textId="77777777" w:rsidTr="00960C84">
        <w:trPr>
          <w:jc w:val="center"/>
        </w:trPr>
        <w:tc>
          <w:tcPr>
            <w:tcW w:w="1701" w:type="dxa"/>
            <w:vMerge w:val="restart"/>
            <w:tcBorders>
              <w:top w:val="single" w:sz="4" w:space="0" w:color="auto"/>
              <w:left w:val="nil"/>
              <w:bottom w:val="nil"/>
              <w:right w:val="nil"/>
            </w:tcBorders>
            <w:vAlign w:val="center"/>
          </w:tcPr>
          <w:p w14:paraId="1CB8456B" w14:textId="77777777" w:rsidR="007967F7" w:rsidRPr="00AD3095" w:rsidRDefault="007967F7"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A</w:t>
            </w:r>
          </w:p>
        </w:tc>
        <w:tc>
          <w:tcPr>
            <w:tcW w:w="1077" w:type="dxa"/>
            <w:tcBorders>
              <w:top w:val="single" w:sz="4" w:space="0" w:color="auto"/>
              <w:left w:val="nil"/>
              <w:bottom w:val="nil"/>
              <w:right w:val="nil"/>
            </w:tcBorders>
          </w:tcPr>
          <w:p w14:paraId="644BE552" w14:textId="1C4317DA" w:rsidR="007967F7" w:rsidRPr="00C37CE9" w:rsidRDefault="007967F7"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00EB530F" w:rsidRPr="00EB530F">
              <w:rPr>
                <w:rFonts w:ascii="Times New Roman" w:hAnsi="Times New Roman"/>
                <w:i/>
                <w:iCs/>
                <w:sz w:val="16"/>
                <w:szCs w:val="16"/>
                <w:lang w:val="en-US"/>
              </w:rPr>
              <w:t>4.199</w:t>
            </w:r>
          </w:p>
        </w:tc>
        <w:tc>
          <w:tcPr>
            <w:tcW w:w="850" w:type="dxa"/>
            <w:tcBorders>
              <w:top w:val="single" w:sz="4" w:space="0" w:color="auto"/>
              <w:left w:val="nil"/>
              <w:bottom w:val="nil"/>
              <w:right w:val="nil"/>
            </w:tcBorders>
            <w:vAlign w:val="center"/>
          </w:tcPr>
          <w:p w14:paraId="4EA9779E" w14:textId="4C1E40C9"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 xml:space="preserve">2.435    </w:t>
            </w:r>
          </w:p>
        </w:tc>
        <w:tc>
          <w:tcPr>
            <w:tcW w:w="850" w:type="dxa"/>
            <w:tcBorders>
              <w:top w:val="single" w:sz="4" w:space="0" w:color="auto"/>
              <w:left w:val="nil"/>
              <w:bottom w:val="nil"/>
              <w:right w:val="nil"/>
            </w:tcBorders>
            <w:vAlign w:val="center"/>
          </w:tcPr>
          <w:p w14:paraId="565ED9C4" w14:textId="3FA84F90"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3.303</w:t>
            </w:r>
          </w:p>
        </w:tc>
        <w:tc>
          <w:tcPr>
            <w:tcW w:w="850" w:type="dxa"/>
            <w:tcBorders>
              <w:top w:val="single" w:sz="4" w:space="0" w:color="auto"/>
              <w:left w:val="nil"/>
              <w:bottom w:val="nil"/>
              <w:right w:val="nil"/>
            </w:tcBorders>
            <w:vAlign w:val="center"/>
          </w:tcPr>
          <w:p w14:paraId="0FD5073A" w14:textId="5062B374"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 xml:space="preserve">2.880    </w:t>
            </w:r>
          </w:p>
        </w:tc>
        <w:tc>
          <w:tcPr>
            <w:tcW w:w="850" w:type="dxa"/>
            <w:tcBorders>
              <w:top w:val="single" w:sz="4" w:space="0" w:color="auto"/>
              <w:left w:val="nil"/>
              <w:bottom w:val="nil"/>
              <w:right w:val="nil"/>
            </w:tcBorders>
            <w:vAlign w:val="center"/>
          </w:tcPr>
          <w:p w14:paraId="7A82F96F" w14:textId="758B50C3"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3.828</w:t>
            </w:r>
          </w:p>
        </w:tc>
        <w:tc>
          <w:tcPr>
            <w:tcW w:w="850" w:type="dxa"/>
            <w:tcBorders>
              <w:top w:val="single" w:sz="4" w:space="0" w:color="auto"/>
              <w:left w:val="nil"/>
              <w:bottom w:val="nil"/>
              <w:right w:val="nil"/>
            </w:tcBorders>
            <w:vAlign w:val="center"/>
          </w:tcPr>
          <w:p w14:paraId="0DA80E77" w14:textId="69AE4BDA"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 xml:space="preserve">3.877    </w:t>
            </w:r>
          </w:p>
        </w:tc>
        <w:tc>
          <w:tcPr>
            <w:tcW w:w="850" w:type="dxa"/>
            <w:tcBorders>
              <w:top w:val="single" w:sz="4" w:space="0" w:color="auto"/>
              <w:left w:val="nil"/>
              <w:bottom w:val="nil"/>
              <w:right w:val="nil"/>
            </w:tcBorders>
            <w:vAlign w:val="center"/>
          </w:tcPr>
          <w:p w14:paraId="033F9784" w14:textId="5EA0E85F"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4.984</w:t>
            </w:r>
          </w:p>
        </w:tc>
      </w:tr>
      <w:tr w:rsidR="007967F7" w:rsidRPr="00C37CE9" w14:paraId="7F78F12E" w14:textId="77777777" w:rsidTr="00960C84">
        <w:trPr>
          <w:jc w:val="center"/>
        </w:trPr>
        <w:tc>
          <w:tcPr>
            <w:tcW w:w="1701" w:type="dxa"/>
            <w:vMerge/>
            <w:tcBorders>
              <w:top w:val="nil"/>
              <w:left w:val="nil"/>
              <w:bottom w:val="nil"/>
              <w:right w:val="nil"/>
            </w:tcBorders>
            <w:vAlign w:val="center"/>
          </w:tcPr>
          <w:p w14:paraId="7297147C" w14:textId="77777777" w:rsidR="007967F7" w:rsidRPr="00AD3095" w:rsidRDefault="007967F7" w:rsidP="00312768">
            <w:pPr>
              <w:jc w:val="center"/>
              <w:rPr>
                <w:rFonts w:ascii="Times New Roman" w:hAnsi="Times New Roman"/>
                <w:i/>
                <w:iCs/>
                <w:sz w:val="16"/>
                <w:szCs w:val="16"/>
              </w:rPr>
            </w:pPr>
          </w:p>
        </w:tc>
        <w:tc>
          <w:tcPr>
            <w:tcW w:w="1077" w:type="dxa"/>
            <w:tcBorders>
              <w:top w:val="nil"/>
              <w:left w:val="nil"/>
              <w:bottom w:val="nil"/>
              <w:right w:val="nil"/>
            </w:tcBorders>
          </w:tcPr>
          <w:p w14:paraId="28F9C0AD" w14:textId="4F0DF87C" w:rsidR="007967F7" w:rsidRPr="00C37CE9" w:rsidRDefault="007967F7"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00EB530F" w:rsidRPr="00EB530F">
              <w:rPr>
                <w:rFonts w:ascii="Times New Roman" w:hAnsi="Times New Roman"/>
                <w:i/>
                <w:iCs/>
                <w:sz w:val="16"/>
                <w:szCs w:val="16"/>
                <w:lang w:val="en-US"/>
              </w:rPr>
              <w:t>-2.979</w:t>
            </w:r>
          </w:p>
        </w:tc>
        <w:tc>
          <w:tcPr>
            <w:tcW w:w="850" w:type="dxa"/>
            <w:tcBorders>
              <w:top w:val="nil"/>
              <w:left w:val="nil"/>
              <w:bottom w:val="nil"/>
              <w:right w:val="nil"/>
            </w:tcBorders>
          </w:tcPr>
          <w:p w14:paraId="1061686B" w14:textId="194EC488"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 xml:space="preserve">-2.549   </w:t>
            </w:r>
          </w:p>
        </w:tc>
        <w:tc>
          <w:tcPr>
            <w:tcW w:w="850" w:type="dxa"/>
            <w:tcBorders>
              <w:top w:val="nil"/>
              <w:left w:val="nil"/>
              <w:bottom w:val="nil"/>
              <w:right w:val="nil"/>
            </w:tcBorders>
          </w:tcPr>
          <w:p w14:paraId="03EF93DC" w14:textId="7DD66726"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-3.424</w:t>
            </w:r>
          </w:p>
        </w:tc>
        <w:tc>
          <w:tcPr>
            <w:tcW w:w="850" w:type="dxa"/>
            <w:tcBorders>
              <w:top w:val="nil"/>
              <w:left w:val="nil"/>
              <w:bottom w:val="nil"/>
              <w:right w:val="nil"/>
            </w:tcBorders>
          </w:tcPr>
          <w:p w14:paraId="1908213C" w14:textId="24B79E1F"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 xml:space="preserve">-2.867   </w:t>
            </w:r>
          </w:p>
        </w:tc>
        <w:tc>
          <w:tcPr>
            <w:tcW w:w="850" w:type="dxa"/>
            <w:tcBorders>
              <w:top w:val="nil"/>
              <w:left w:val="nil"/>
              <w:bottom w:val="nil"/>
              <w:right w:val="nil"/>
            </w:tcBorders>
          </w:tcPr>
          <w:p w14:paraId="67EFCB1E" w14:textId="3339C808"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-3.774</w:t>
            </w:r>
          </w:p>
        </w:tc>
        <w:tc>
          <w:tcPr>
            <w:tcW w:w="850" w:type="dxa"/>
            <w:tcBorders>
              <w:top w:val="nil"/>
              <w:left w:val="nil"/>
              <w:bottom w:val="nil"/>
              <w:right w:val="nil"/>
            </w:tcBorders>
          </w:tcPr>
          <w:p w14:paraId="7550334F" w14:textId="3BCA881D"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 xml:space="preserve">-3.492   </w:t>
            </w:r>
          </w:p>
        </w:tc>
        <w:tc>
          <w:tcPr>
            <w:tcW w:w="850" w:type="dxa"/>
            <w:tcBorders>
              <w:top w:val="nil"/>
              <w:left w:val="nil"/>
              <w:bottom w:val="nil"/>
              <w:right w:val="nil"/>
            </w:tcBorders>
          </w:tcPr>
          <w:p w14:paraId="20CD4FBE" w14:textId="63D484B8" w:rsidR="007967F7" w:rsidRPr="00C37CE9" w:rsidRDefault="00EB530F" w:rsidP="00312768">
            <w:pPr>
              <w:jc w:val="center"/>
              <w:rPr>
                <w:rFonts w:ascii="Times New Roman" w:hAnsi="Times New Roman" w:cs="Times New Roman"/>
                <w:i/>
                <w:sz w:val="16"/>
                <w:szCs w:val="16"/>
              </w:rPr>
            </w:pPr>
            <w:r w:rsidRPr="00EB530F">
              <w:rPr>
                <w:rFonts w:ascii="Times New Roman" w:hAnsi="Times New Roman" w:cs="Times New Roman"/>
                <w:i/>
                <w:sz w:val="16"/>
                <w:szCs w:val="16"/>
              </w:rPr>
              <w:t>-4.448</w:t>
            </w:r>
          </w:p>
        </w:tc>
      </w:tr>
      <w:tr w:rsidR="00312768" w:rsidRPr="00C37CE9" w14:paraId="07ED8E6B" w14:textId="77777777" w:rsidTr="00960C84">
        <w:trPr>
          <w:jc w:val="center"/>
        </w:trPr>
        <w:tc>
          <w:tcPr>
            <w:tcW w:w="1701" w:type="dxa"/>
            <w:vMerge w:val="restart"/>
            <w:tcBorders>
              <w:top w:val="nil"/>
              <w:left w:val="nil"/>
              <w:bottom w:val="nil"/>
              <w:right w:val="nil"/>
            </w:tcBorders>
            <w:vAlign w:val="center"/>
          </w:tcPr>
          <w:p w14:paraId="5DC964A6" w14:textId="77777777" w:rsidR="00312768" w:rsidRPr="00AD3095" w:rsidRDefault="00312768"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B</w:t>
            </w:r>
          </w:p>
        </w:tc>
        <w:tc>
          <w:tcPr>
            <w:tcW w:w="1077" w:type="dxa"/>
            <w:tcBorders>
              <w:top w:val="nil"/>
              <w:left w:val="nil"/>
              <w:bottom w:val="nil"/>
              <w:right w:val="nil"/>
            </w:tcBorders>
          </w:tcPr>
          <w:p w14:paraId="122726B9" w14:textId="117690B3"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00EA26DE" w:rsidRPr="00EA26DE">
              <w:rPr>
                <w:rFonts w:ascii="Times New Roman" w:hAnsi="Times New Roman"/>
                <w:i/>
                <w:iCs/>
                <w:sz w:val="16"/>
                <w:szCs w:val="16"/>
                <w:lang w:val="en-US"/>
              </w:rPr>
              <w:t>3.469</w:t>
            </w:r>
          </w:p>
        </w:tc>
        <w:tc>
          <w:tcPr>
            <w:tcW w:w="850" w:type="dxa"/>
            <w:tcBorders>
              <w:top w:val="nil"/>
              <w:left w:val="nil"/>
              <w:bottom w:val="nil"/>
              <w:right w:val="nil"/>
            </w:tcBorders>
          </w:tcPr>
          <w:p w14:paraId="030548B3" w14:textId="733B8991"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2.276</w:t>
            </w:r>
          </w:p>
        </w:tc>
        <w:tc>
          <w:tcPr>
            <w:tcW w:w="850" w:type="dxa"/>
            <w:tcBorders>
              <w:top w:val="nil"/>
              <w:left w:val="nil"/>
              <w:bottom w:val="nil"/>
              <w:right w:val="nil"/>
            </w:tcBorders>
          </w:tcPr>
          <w:p w14:paraId="7CC2A50F" w14:textId="12142AE3"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3.222</w:t>
            </w:r>
          </w:p>
        </w:tc>
        <w:tc>
          <w:tcPr>
            <w:tcW w:w="850" w:type="dxa"/>
            <w:tcBorders>
              <w:top w:val="nil"/>
              <w:left w:val="nil"/>
              <w:bottom w:val="nil"/>
              <w:right w:val="nil"/>
            </w:tcBorders>
          </w:tcPr>
          <w:p w14:paraId="52432CD5" w14:textId="777C5A3B"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 xml:space="preserve">2.673    </w:t>
            </w:r>
          </w:p>
        </w:tc>
        <w:tc>
          <w:tcPr>
            <w:tcW w:w="850" w:type="dxa"/>
            <w:tcBorders>
              <w:top w:val="nil"/>
              <w:left w:val="nil"/>
              <w:bottom w:val="nil"/>
              <w:right w:val="nil"/>
            </w:tcBorders>
          </w:tcPr>
          <w:p w14:paraId="761BC603" w14:textId="789E8E6E"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3.706</w:t>
            </w:r>
          </w:p>
        </w:tc>
        <w:tc>
          <w:tcPr>
            <w:tcW w:w="850" w:type="dxa"/>
            <w:tcBorders>
              <w:top w:val="nil"/>
              <w:left w:val="nil"/>
              <w:bottom w:val="nil"/>
              <w:right w:val="nil"/>
            </w:tcBorders>
          </w:tcPr>
          <w:p w14:paraId="22884ABE" w14:textId="2F3F4BE7"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 xml:space="preserve">3.561    </w:t>
            </w:r>
          </w:p>
        </w:tc>
        <w:tc>
          <w:tcPr>
            <w:tcW w:w="850" w:type="dxa"/>
            <w:tcBorders>
              <w:top w:val="nil"/>
              <w:left w:val="nil"/>
              <w:bottom w:val="nil"/>
              <w:right w:val="nil"/>
            </w:tcBorders>
          </w:tcPr>
          <w:p w14:paraId="61A812FE" w14:textId="2A4FB2A3"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4.768</w:t>
            </w:r>
          </w:p>
        </w:tc>
      </w:tr>
      <w:tr w:rsidR="00312768" w:rsidRPr="00C37CE9" w14:paraId="3C5D99B5" w14:textId="77777777" w:rsidTr="00960C84">
        <w:trPr>
          <w:jc w:val="center"/>
        </w:trPr>
        <w:tc>
          <w:tcPr>
            <w:tcW w:w="1701" w:type="dxa"/>
            <w:vMerge/>
            <w:tcBorders>
              <w:top w:val="nil"/>
              <w:left w:val="nil"/>
              <w:bottom w:val="nil"/>
              <w:right w:val="nil"/>
            </w:tcBorders>
            <w:vAlign w:val="center"/>
          </w:tcPr>
          <w:p w14:paraId="3F7D40D0" w14:textId="77777777" w:rsidR="00312768" w:rsidRPr="00AD3095" w:rsidRDefault="00312768" w:rsidP="00312768">
            <w:pPr>
              <w:jc w:val="center"/>
              <w:rPr>
                <w:rFonts w:ascii="Times New Roman" w:hAnsi="Times New Roman"/>
                <w:i/>
                <w:iCs/>
                <w:sz w:val="16"/>
                <w:szCs w:val="16"/>
              </w:rPr>
            </w:pPr>
          </w:p>
        </w:tc>
        <w:tc>
          <w:tcPr>
            <w:tcW w:w="1077" w:type="dxa"/>
            <w:tcBorders>
              <w:top w:val="nil"/>
              <w:left w:val="nil"/>
              <w:bottom w:val="nil"/>
              <w:right w:val="nil"/>
            </w:tcBorders>
          </w:tcPr>
          <w:p w14:paraId="432C5044" w14:textId="634C38AB"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00EA26DE" w:rsidRPr="00EA26DE">
              <w:rPr>
                <w:rFonts w:ascii="Times New Roman" w:hAnsi="Times New Roman"/>
                <w:i/>
                <w:iCs/>
                <w:sz w:val="16"/>
                <w:szCs w:val="16"/>
                <w:lang w:val="en-US"/>
              </w:rPr>
              <w:t>-2.950</w:t>
            </w:r>
          </w:p>
        </w:tc>
        <w:tc>
          <w:tcPr>
            <w:tcW w:w="850" w:type="dxa"/>
            <w:tcBorders>
              <w:top w:val="nil"/>
              <w:left w:val="nil"/>
              <w:bottom w:val="nil"/>
              <w:right w:val="nil"/>
            </w:tcBorders>
          </w:tcPr>
          <w:p w14:paraId="16101F57" w14:textId="3658C386"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 xml:space="preserve">-2.543   </w:t>
            </w:r>
          </w:p>
        </w:tc>
        <w:tc>
          <w:tcPr>
            <w:tcW w:w="850" w:type="dxa"/>
            <w:tcBorders>
              <w:top w:val="nil"/>
              <w:left w:val="nil"/>
              <w:bottom w:val="nil"/>
              <w:right w:val="nil"/>
            </w:tcBorders>
          </w:tcPr>
          <w:p w14:paraId="038F0FE5" w14:textId="0651AD52"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-3.641</w:t>
            </w:r>
          </w:p>
        </w:tc>
        <w:tc>
          <w:tcPr>
            <w:tcW w:w="850" w:type="dxa"/>
            <w:tcBorders>
              <w:top w:val="nil"/>
              <w:left w:val="nil"/>
              <w:bottom w:val="nil"/>
              <w:right w:val="nil"/>
            </w:tcBorders>
          </w:tcPr>
          <w:p w14:paraId="22617C04" w14:textId="40555D87"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 xml:space="preserve">-2.863   </w:t>
            </w:r>
          </w:p>
        </w:tc>
        <w:tc>
          <w:tcPr>
            <w:tcW w:w="850" w:type="dxa"/>
            <w:tcBorders>
              <w:top w:val="nil"/>
              <w:left w:val="nil"/>
              <w:bottom w:val="nil"/>
              <w:right w:val="nil"/>
            </w:tcBorders>
          </w:tcPr>
          <w:p w14:paraId="10DF654C" w14:textId="25F1DA4A"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-4.001</w:t>
            </w:r>
          </w:p>
        </w:tc>
        <w:tc>
          <w:tcPr>
            <w:tcW w:w="850" w:type="dxa"/>
            <w:tcBorders>
              <w:top w:val="nil"/>
              <w:left w:val="nil"/>
              <w:bottom w:val="nil"/>
              <w:right w:val="nil"/>
            </w:tcBorders>
          </w:tcPr>
          <w:p w14:paraId="653DBECB" w14:textId="2B6E38B3"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 xml:space="preserve">-3.494   </w:t>
            </w:r>
          </w:p>
        </w:tc>
        <w:tc>
          <w:tcPr>
            <w:tcW w:w="850" w:type="dxa"/>
            <w:tcBorders>
              <w:top w:val="nil"/>
              <w:left w:val="nil"/>
              <w:bottom w:val="nil"/>
              <w:right w:val="nil"/>
            </w:tcBorders>
          </w:tcPr>
          <w:p w14:paraId="0CCD55B4" w14:textId="3E81E2B3" w:rsidR="00312768" w:rsidRPr="00C37CE9" w:rsidRDefault="00EA26DE" w:rsidP="00312768">
            <w:pPr>
              <w:jc w:val="center"/>
              <w:rPr>
                <w:rFonts w:ascii="Times New Roman" w:hAnsi="Times New Roman" w:cs="Times New Roman"/>
                <w:i/>
                <w:sz w:val="16"/>
                <w:szCs w:val="16"/>
              </w:rPr>
            </w:pPr>
            <w:r w:rsidRPr="00EA26DE">
              <w:rPr>
                <w:rFonts w:ascii="Times New Roman" w:hAnsi="Times New Roman" w:cs="Times New Roman"/>
                <w:i/>
                <w:sz w:val="16"/>
                <w:szCs w:val="16"/>
              </w:rPr>
              <w:t>-4.695</w:t>
            </w:r>
          </w:p>
        </w:tc>
      </w:tr>
      <w:tr w:rsidR="00312768" w:rsidRPr="00C37CE9" w14:paraId="4B110C15" w14:textId="77777777" w:rsidTr="00960C84">
        <w:trPr>
          <w:jc w:val="center"/>
        </w:trPr>
        <w:tc>
          <w:tcPr>
            <w:tcW w:w="1701" w:type="dxa"/>
            <w:vMerge w:val="restart"/>
            <w:tcBorders>
              <w:top w:val="nil"/>
              <w:left w:val="nil"/>
              <w:bottom w:val="nil"/>
              <w:right w:val="nil"/>
            </w:tcBorders>
            <w:vAlign w:val="center"/>
          </w:tcPr>
          <w:p w14:paraId="6DDE7AE2" w14:textId="77777777" w:rsidR="00312768" w:rsidRPr="00AD3095" w:rsidRDefault="00312768"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C</w:t>
            </w:r>
          </w:p>
        </w:tc>
        <w:tc>
          <w:tcPr>
            <w:tcW w:w="1077" w:type="dxa"/>
            <w:tcBorders>
              <w:top w:val="nil"/>
              <w:left w:val="nil"/>
              <w:bottom w:val="nil"/>
              <w:right w:val="nil"/>
            </w:tcBorders>
          </w:tcPr>
          <w:p w14:paraId="0B1D30E8" w14:textId="0BC0FBEE"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00966327" w:rsidRPr="00966327">
              <w:rPr>
                <w:rFonts w:ascii="Times New Roman" w:hAnsi="Times New Roman"/>
                <w:i/>
                <w:iCs/>
                <w:sz w:val="16"/>
                <w:szCs w:val="16"/>
                <w:lang w:val="en-US"/>
              </w:rPr>
              <w:t>8.858</w:t>
            </w:r>
          </w:p>
        </w:tc>
        <w:tc>
          <w:tcPr>
            <w:tcW w:w="850" w:type="dxa"/>
            <w:tcBorders>
              <w:top w:val="nil"/>
              <w:left w:val="nil"/>
              <w:bottom w:val="nil"/>
              <w:right w:val="nil"/>
            </w:tcBorders>
            <w:vAlign w:val="center"/>
          </w:tcPr>
          <w:p w14:paraId="79E9F10B" w14:textId="5A4062E2"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2.255    </w:t>
            </w:r>
          </w:p>
        </w:tc>
        <w:tc>
          <w:tcPr>
            <w:tcW w:w="850" w:type="dxa"/>
            <w:tcBorders>
              <w:top w:val="nil"/>
              <w:left w:val="nil"/>
              <w:bottom w:val="nil"/>
              <w:right w:val="nil"/>
            </w:tcBorders>
            <w:vAlign w:val="center"/>
          </w:tcPr>
          <w:p w14:paraId="1ED13F1D" w14:textId="731E5E73"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3.234</w:t>
            </w:r>
          </w:p>
        </w:tc>
        <w:tc>
          <w:tcPr>
            <w:tcW w:w="850" w:type="dxa"/>
            <w:tcBorders>
              <w:top w:val="nil"/>
              <w:left w:val="nil"/>
              <w:bottom w:val="nil"/>
              <w:right w:val="nil"/>
            </w:tcBorders>
            <w:vAlign w:val="center"/>
          </w:tcPr>
          <w:p w14:paraId="5C6F08C9" w14:textId="55F59694"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2.652    </w:t>
            </w:r>
          </w:p>
        </w:tc>
        <w:tc>
          <w:tcPr>
            <w:tcW w:w="850" w:type="dxa"/>
            <w:tcBorders>
              <w:top w:val="nil"/>
              <w:left w:val="nil"/>
              <w:bottom w:val="nil"/>
              <w:right w:val="nil"/>
            </w:tcBorders>
            <w:vAlign w:val="center"/>
          </w:tcPr>
          <w:p w14:paraId="2AB0EB46" w14:textId="499E9C75"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3.725</w:t>
            </w:r>
          </w:p>
        </w:tc>
        <w:tc>
          <w:tcPr>
            <w:tcW w:w="850" w:type="dxa"/>
            <w:tcBorders>
              <w:top w:val="nil"/>
              <w:left w:val="nil"/>
              <w:bottom w:val="nil"/>
              <w:right w:val="nil"/>
            </w:tcBorders>
            <w:vAlign w:val="center"/>
          </w:tcPr>
          <w:p w14:paraId="603EB79E" w14:textId="11316633"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3.544    </w:t>
            </w:r>
          </w:p>
        </w:tc>
        <w:tc>
          <w:tcPr>
            <w:tcW w:w="850" w:type="dxa"/>
            <w:tcBorders>
              <w:top w:val="nil"/>
              <w:left w:val="nil"/>
              <w:bottom w:val="nil"/>
              <w:right w:val="nil"/>
            </w:tcBorders>
            <w:vAlign w:val="center"/>
          </w:tcPr>
          <w:p w14:paraId="61170469" w14:textId="2F2A785D"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4.808</w:t>
            </w:r>
          </w:p>
        </w:tc>
      </w:tr>
      <w:tr w:rsidR="00312768" w:rsidRPr="00C37CE9" w14:paraId="663C3208" w14:textId="77777777" w:rsidTr="00960C84">
        <w:trPr>
          <w:jc w:val="center"/>
        </w:trPr>
        <w:tc>
          <w:tcPr>
            <w:tcW w:w="1701" w:type="dxa"/>
            <w:vMerge/>
            <w:tcBorders>
              <w:top w:val="nil"/>
              <w:left w:val="nil"/>
              <w:bottom w:val="nil"/>
              <w:right w:val="nil"/>
            </w:tcBorders>
            <w:vAlign w:val="center"/>
          </w:tcPr>
          <w:p w14:paraId="68095698" w14:textId="77777777" w:rsidR="00312768" w:rsidRPr="00AD3095" w:rsidRDefault="00312768" w:rsidP="00312768">
            <w:pPr>
              <w:jc w:val="center"/>
              <w:rPr>
                <w:rFonts w:ascii="Times New Roman" w:hAnsi="Times New Roman"/>
                <w:i/>
                <w:iCs/>
                <w:sz w:val="16"/>
                <w:szCs w:val="16"/>
              </w:rPr>
            </w:pPr>
          </w:p>
        </w:tc>
        <w:tc>
          <w:tcPr>
            <w:tcW w:w="1077" w:type="dxa"/>
            <w:tcBorders>
              <w:top w:val="nil"/>
              <w:left w:val="nil"/>
              <w:bottom w:val="nil"/>
              <w:right w:val="nil"/>
            </w:tcBorders>
          </w:tcPr>
          <w:p w14:paraId="494C04AC" w14:textId="4E986542"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00966327" w:rsidRPr="00966327">
              <w:rPr>
                <w:rFonts w:ascii="Times New Roman" w:hAnsi="Times New Roman"/>
                <w:i/>
                <w:iCs/>
                <w:sz w:val="16"/>
                <w:szCs w:val="16"/>
                <w:lang w:val="en-US"/>
              </w:rPr>
              <w:t>-3.317</w:t>
            </w:r>
          </w:p>
        </w:tc>
        <w:tc>
          <w:tcPr>
            <w:tcW w:w="850" w:type="dxa"/>
            <w:tcBorders>
              <w:top w:val="nil"/>
              <w:left w:val="nil"/>
              <w:bottom w:val="nil"/>
              <w:right w:val="nil"/>
            </w:tcBorders>
            <w:vAlign w:val="center"/>
          </w:tcPr>
          <w:p w14:paraId="045C1334" w14:textId="7F085A25"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-2.525   </w:t>
            </w:r>
          </w:p>
        </w:tc>
        <w:tc>
          <w:tcPr>
            <w:tcW w:w="850" w:type="dxa"/>
            <w:tcBorders>
              <w:top w:val="nil"/>
              <w:left w:val="nil"/>
              <w:bottom w:val="nil"/>
              <w:right w:val="nil"/>
            </w:tcBorders>
            <w:vAlign w:val="center"/>
          </w:tcPr>
          <w:p w14:paraId="5B5967C3" w14:textId="7E772D9B"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-3.617</w:t>
            </w:r>
          </w:p>
        </w:tc>
        <w:tc>
          <w:tcPr>
            <w:tcW w:w="850" w:type="dxa"/>
            <w:tcBorders>
              <w:top w:val="nil"/>
              <w:left w:val="nil"/>
              <w:bottom w:val="nil"/>
              <w:right w:val="nil"/>
            </w:tcBorders>
            <w:vAlign w:val="center"/>
          </w:tcPr>
          <w:p w14:paraId="0FEE94AF" w14:textId="3A1BF391"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-2.848   </w:t>
            </w:r>
          </w:p>
        </w:tc>
        <w:tc>
          <w:tcPr>
            <w:tcW w:w="850" w:type="dxa"/>
            <w:tcBorders>
              <w:top w:val="nil"/>
              <w:left w:val="nil"/>
              <w:bottom w:val="nil"/>
              <w:right w:val="nil"/>
            </w:tcBorders>
            <w:vAlign w:val="center"/>
          </w:tcPr>
          <w:p w14:paraId="4ECAC62E" w14:textId="5D5BDD89"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-3.982</w:t>
            </w:r>
          </w:p>
        </w:tc>
        <w:tc>
          <w:tcPr>
            <w:tcW w:w="850" w:type="dxa"/>
            <w:tcBorders>
              <w:top w:val="nil"/>
              <w:left w:val="nil"/>
              <w:bottom w:val="nil"/>
              <w:right w:val="nil"/>
            </w:tcBorders>
            <w:vAlign w:val="center"/>
          </w:tcPr>
          <w:p w14:paraId="5421ACEC" w14:textId="4F38B42F"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-3.486   </w:t>
            </w:r>
          </w:p>
        </w:tc>
        <w:tc>
          <w:tcPr>
            <w:tcW w:w="850" w:type="dxa"/>
            <w:tcBorders>
              <w:top w:val="nil"/>
              <w:left w:val="nil"/>
              <w:bottom w:val="nil"/>
              <w:right w:val="nil"/>
            </w:tcBorders>
            <w:vAlign w:val="center"/>
          </w:tcPr>
          <w:p w14:paraId="2AF3CE40" w14:textId="4D6558A6"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-4.687</w:t>
            </w:r>
          </w:p>
        </w:tc>
      </w:tr>
      <w:tr w:rsidR="00312768" w:rsidRPr="00C37CE9" w14:paraId="6F8AC3D5" w14:textId="77777777" w:rsidTr="00960C84">
        <w:trPr>
          <w:jc w:val="center"/>
        </w:trPr>
        <w:tc>
          <w:tcPr>
            <w:tcW w:w="1701" w:type="dxa"/>
            <w:vMerge w:val="restart"/>
            <w:tcBorders>
              <w:top w:val="nil"/>
              <w:left w:val="nil"/>
              <w:bottom w:val="nil"/>
              <w:right w:val="nil"/>
            </w:tcBorders>
            <w:vAlign w:val="center"/>
          </w:tcPr>
          <w:p w14:paraId="2E58535F" w14:textId="77777777" w:rsidR="00312768" w:rsidRPr="00AD3095" w:rsidRDefault="00312768"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D</w:t>
            </w:r>
          </w:p>
        </w:tc>
        <w:tc>
          <w:tcPr>
            <w:tcW w:w="1077" w:type="dxa"/>
            <w:tcBorders>
              <w:top w:val="nil"/>
              <w:left w:val="nil"/>
              <w:bottom w:val="nil"/>
              <w:right w:val="nil"/>
            </w:tcBorders>
          </w:tcPr>
          <w:p w14:paraId="0D831DA9" w14:textId="4A47EAC8"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00966327" w:rsidRPr="00966327">
              <w:rPr>
                <w:rFonts w:ascii="Times New Roman" w:hAnsi="Times New Roman"/>
                <w:i/>
                <w:iCs/>
                <w:sz w:val="16"/>
                <w:szCs w:val="16"/>
                <w:lang w:val="en-US"/>
              </w:rPr>
              <w:t>10.079</w:t>
            </w:r>
          </w:p>
        </w:tc>
        <w:tc>
          <w:tcPr>
            <w:tcW w:w="850" w:type="dxa"/>
            <w:tcBorders>
              <w:top w:val="nil"/>
              <w:left w:val="nil"/>
              <w:bottom w:val="nil"/>
              <w:right w:val="nil"/>
            </w:tcBorders>
            <w:vAlign w:val="center"/>
          </w:tcPr>
          <w:p w14:paraId="7A158E12" w14:textId="6AC2EF45"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2.090    </w:t>
            </w:r>
          </w:p>
        </w:tc>
        <w:tc>
          <w:tcPr>
            <w:tcW w:w="850" w:type="dxa"/>
            <w:tcBorders>
              <w:top w:val="nil"/>
              <w:left w:val="nil"/>
              <w:bottom w:val="nil"/>
              <w:right w:val="nil"/>
            </w:tcBorders>
            <w:vAlign w:val="center"/>
          </w:tcPr>
          <w:p w14:paraId="27F832CA" w14:textId="53620D7F"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3.206</w:t>
            </w:r>
          </w:p>
        </w:tc>
        <w:tc>
          <w:tcPr>
            <w:tcW w:w="850" w:type="dxa"/>
            <w:tcBorders>
              <w:top w:val="nil"/>
              <w:left w:val="nil"/>
              <w:bottom w:val="nil"/>
              <w:right w:val="nil"/>
            </w:tcBorders>
            <w:vAlign w:val="center"/>
          </w:tcPr>
          <w:p w14:paraId="77C138BC" w14:textId="4F0B0D22"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 xml:space="preserve">2.453    </w:t>
            </w:r>
          </w:p>
        </w:tc>
        <w:tc>
          <w:tcPr>
            <w:tcW w:w="850" w:type="dxa"/>
            <w:tcBorders>
              <w:top w:val="nil"/>
              <w:left w:val="nil"/>
              <w:bottom w:val="nil"/>
              <w:right w:val="nil"/>
            </w:tcBorders>
            <w:vAlign w:val="center"/>
          </w:tcPr>
          <w:p w14:paraId="4AAA7DD5" w14:textId="7603A99D"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3.685</w:t>
            </w:r>
          </w:p>
        </w:tc>
        <w:tc>
          <w:tcPr>
            <w:tcW w:w="850" w:type="dxa"/>
            <w:tcBorders>
              <w:top w:val="nil"/>
              <w:left w:val="nil"/>
              <w:bottom w:val="nil"/>
              <w:right w:val="nil"/>
            </w:tcBorders>
            <w:vAlign w:val="center"/>
          </w:tcPr>
          <w:p w14:paraId="09AA1FD6" w14:textId="2CD8E470"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 xml:space="preserve">3.275    </w:t>
            </w:r>
          </w:p>
        </w:tc>
        <w:tc>
          <w:tcPr>
            <w:tcW w:w="850" w:type="dxa"/>
            <w:tcBorders>
              <w:top w:val="nil"/>
              <w:left w:val="nil"/>
              <w:bottom w:val="nil"/>
              <w:right w:val="nil"/>
            </w:tcBorders>
            <w:vAlign w:val="center"/>
          </w:tcPr>
          <w:p w14:paraId="5E9404D8" w14:textId="17C05842"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4.753</w:t>
            </w:r>
          </w:p>
        </w:tc>
      </w:tr>
      <w:tr w:rsidR="00312768" w:rsidRPr="00C37CE9" w14:paraId="1EA7966C" w14:textId="77777777" w:rsidTr="00960C84">
        <w:trPr>
          <w:jc w:val="center"/>
        </w:trPr>
        <w:tc>
          <w:tcPr>
            <w:tcW w:w="1701" w:type="dxa"/>
            <w:vMerge/>
            <w:tcBorders>
              <w:top w:val="nil"/>
              <w:left w:val="nil"/>
              <w:bottom w:val="nil"/>
              <w:right w:val="nil"/>
            </w:tcBorders>
            <w:vAlign w:val="center"/>
          </w:tcPr>
          <w:p w14:paraId="3987BBC3" w14:textId="77777777" w:rsidR="00312768" w:rsidRPr="00AD3095" w:rsidRDefault="00312768" w:rsidP="00312768">
            <w:pPr>
              <w:jc w:val="center"/>
              <w:rPr>
                <w:rFonts w:ascii="Times New Roman" w:hAnsi="Times New Roman"/>
                <w:i/>
                <w:iCs/>
                <w:sz w:val="16"/>
                <w:szCs w:val="16"/>
              </w:rPr>
            </w:pPr>
          </w:p>
        </w:tc>
        <w:tc>
          <w:tcPr>
            <w:tcW w:w="1077" w:type="dxa"/>
            <w:tcBorders>
              <w:top w:val="nil"/>
              <w:left w:val="nil"/>
              <w:bottom w:val="nil"/>
              <w:right w:val="nil"/>
            </w:tcBorders>
          </w:tcPr>
          <w:p w14:paraId="273B0B92" w14:textId="43EE5AC7"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00966327" w:rsidRPr="00966327">
              <w:rPr>
                <w:rFonts w:ascii="Times New Roman" w:hAnsi="Times New Roman"/>
                <w:i/>
                <w:iCs/>
                <w:sz w:val="16"/>
                <w:szCs w:val="16"/>
                <w:lang w:val="en-US"/>
              </w:rPr>
              <w:t>-3.112</w:t>
            </w:r>
          </w:p>
        </w:tc>
        <w:tc>
          <w:tcPr>
            <w:tcW w:w="850" w:type="dxa"/>
            <w:tcBorders>
              <w:top w:val="nil"/>
              <w:left w:val="nil"/>
              <w:bottom w:val="nil"/>
              <w:right w:val="nil"/>
            </w:tcBorders>
            <w:vAlign w:val="center"/>
          </w:tcPr>
          <w:p w14:paraId="1F37B0D0" w14:textId="68C64DDF"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 xml:space="preserve">-2.468   </w:t>
            </w:r>
          </w:p>
        </w:tc>
        <w:tc>
          <w:tcPr>
            <w:tcW w:w="850" w:type="dxa"/>
            <w:tcBorders>
              <w:top w:val="nil"/>
              <w:left w:val="nil"/>
              <w:bottom w:val="nil"/>
              <w:right w:val="nil"/>
            </w:tcBorders>
            <w:vAlign w:val="center"/>
          </w:tcPr>
          <w:p w14:paraId="3686EE0F" w14:textId="1AA664F7" w:rsidR="00312768" w:rsidRPr="00C37CE9" w:rsidRDefault="00966327" w:rsidP="00312768">
            <w:pPr>
              <w:jc w:val="center"/>
              <w:rPr>
                <w:rFonts w:ascii="Times New Roman" w:hAnsi="Times New Roman"/>
                <w:i/>
                <w:iCs/>
                <w:sz w:val="16"/>
                <w:szCs w:val="16"/>
                <w:lang w:val="en-US"/>
              </w:rPr>
            </w:pPr>
            <w:r w:rsidRPr="00966327">
              <w:rPr>
                <w:rFonts w:ascii="Times New Roman" w:hAnsi="Times New Roman"/>
                <w:i/>
                <w:iCs/>
                <w:sz w:val="16"/>
                <w:szCs w:val="16"/>
                <w:lang w:val="en-US"/>
              </w:rPr>
              <w:t>-3.749</w:t>
            </w:r>
          </w:p>
        </w:tc>
        <w:tc>
          <w:tcPr>
            <w:tcW w:w="850" w:type="dxa"/>
            <w:tcBorders>
              <w:top w:val="nil"/>
              <w:left w:val="nil"/>
              <w:bottom w:val="nil"/>
              <w:right w:val="nil"/>
            </w:tcBorders>
            <w:vAlign w:val="center"/>
          </w:tcPr>
          <w:p w14:paraId="71678EC3" w14:textId="17A8A44F"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 xml:space="preserve">-2.803   </w:t>
            </w:r>
          </w:p>
        </w:tc>
        <w:tc>
          <w:tcPr>
            <w:tcW w:w="850" w:type="dxa"/>
            <w:tcBorders>
              <w:top w:val="nil"/>
              <w:left w:val="nil"/>
              <w:bottom w:val="nil"/>
              <w:right w:val="nil"/>
            </w:tcBorders>
            <w:vAlign w:val="center"/>
          </w:tcPr>
          <w:p w14:paraId="2CDCBC76" w14:textId="3BB42AB0"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-4.137</w:t>
            </w:r>
          </w:p>
        </w:tc>
        <w:tc>
          <w:tcPr>
            <w:tcW w:w="850" w:type="dxa"/>
            <w:tcBorders>
              <w:top w:val="nil"/>
              <w:left w:val="nil"/>
              <w:bottom w:val="nil"/>
              <w:right w:val="nil"/>
            </w:tcBorders>
            <w:vAlign w:val="center"/>
          </w:tcPr>
          <w:p w14:paraId="2B36CAD1" w14:textId="4952ECE6"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 xml:space="preserve">-3.464   </w:t>
            </w:r>
          </w:p>
        </w:tc>
        <w:tc>
          <w:tcPr>
            <w:tcW w:w="850" w:type="dxa"/>
            <w:tcBorders>
              <w:top w:val="nil"/>
              <w:left w:val="nil"/>
              <w:bottom w:val="nil"/>
              <w:right w:val="nil"/>
            </w:tcBorders>
            <w:vAlign w:val="center"/>
          </w:tcPr>
          <w:p w14:paraId="700F867F" w14:textId="0D571471" w:rsidR="00312768" w:rsidRPr="00C37CE9" w:rsidRDefault="008F0321" w:rsidP="00312768">
            <w:pPr>
              <w:jc w:val="center"/>
              <w:rPr>
                <w:rFonts w:ascii="Times New Roman" w:hAnsi="Times New Roman"/>
                <w:i/>
                <w:iCs/>
                <w:sz w:val="16"/>
                <w:szCs w:val="16"/>
                <w:lang w:val="en-US"/>
              </w:rPr>
            </w:pPr>
            <w:r w:rsidRPr="008F0321">
              <w:rPr>
                <w:rFonts w:ascii="Times New Roman" w:hAnsi="Times New Roman"/>
                <w:i/>
                <w:iCs/>
                <w:sz w:val="16"/>
                <w:szCs w:val="16"/>
                <w:lang w:val="en-US"/>
              </w:rPr>
              <w:t>-4.891</w:t>
            </w:r>
          </w:p>
        </w:tc>
      </w:tr>
      <w:tr w:rsidR="00312768" w:rsidRPr="00C37CE9" w14:paraId="538A553A" w14:textId="77777777" w:rsidTr="00960C84">
        <w:trPr>
          <w:jc w:val="center"/>
        </w:trPr>
        <w:tc>
          <w:tcPr>
            <w:tcW w:w="1701" w:type="dxa"/>
            <w:vMerge w:val="restart"/>
            <w:tcBorders>
              <w:top w:val="nil"/>
              <w:left w:val="nil"/>
              <w:bottom w:val="nil"/>
              <w:right w:val="nil"/>
            </w:tcBorders>
            <w:vAlign w:val="center"/>
          </w:tcPr>
          <w:p w14:paraId="1E427073" w14:textId="77777777" w:rsidR="00312768" w:rsidRPr="00AD3095" w:rsidRDefault="00312768"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E</w:t>
            </w:r>
          </w:p>
        </w:tc>
        <w:tc>
          <w:tcPr>
            <w:tcW w:w="1077" w:type="dxa"/>
            <w:tcBorders>
              <w:top w:val="nil"/>
              <w:left w:val="nil"/>
              <w:bottom w:val="nil"/>
              <w:right w:val="nil"/>
            </w:tcBorders>
          </w:tcPr>
          <w:p w14:paraId="75E09CA1" w14:textId="2AF19BAC"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Pr="00312768">
              <w:rPr>
                <w:rFonts w:ascii="Times New Roman" w:hAnsi="Times New Roman"/>
                <w:i/>
                <w:iCs/>
                <w:sz w:val="16"/>
                <w:szCs w:val="16"/>
                <w:lang w:val="en-US"/>
              </w:rPr>
              <w:t>15.422</w:t>
            </w:r>
          </w:p>
        </w:tc>
        <w:tc>
          <w:tcPr>
            <w:tcW w:w="850" w:type="dxa"/>
            <w:tcBorders>
              <w:top w:val="nil"/>
              <w:left w:val="nil"/>
              <w:bottom w:val="nil"/>
              <w:right w:val="nil"/>
            </w:tcBorders>
            <w:vAlign w:val="center"/>
          </w:tcPr>
          <w:p w14:paraId="44E5B6D0" w14:textId="1CFDCEBE"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2.255</w:t>
            </w:r>
          </w:p>
        </w:tc>
        <w:tc>
          <w:tcPr>
            <w:tcW w:w="850" w:type="dxa"/>
            <w:tcBorders>
              <w:top w:val="nil"/>
              <w:left w:val="nil"/>
              <w:bottom w:val="nil"/>
              <w:right w:val="nil"/>
            </w:tcBorders>
            <w:vAlign w:val="center"/>
          </w:tcPr>
          <w:p w14:paraId="3BA319D0" w14:textId="372E2774"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3.234</w:t>
            </w:r>
          </w:p>
        </w:tc>
        <w:tc>
          <w:tcPr>
            <w:tcW w:w="850" w:type="dxa"/>
            <w:tcBorders>
              <w:top w:val="nil"/>
              <w:left w:val="nil"/>
              <w:bottom w:val="nil"/>
              <w:right w:val="nil"/>
            </w:tcBorders>
            <w:vAlign w:val="center"/>
          </w:tcPr>
          <w:p w14:paraId="7B2208A4" w14:textId="46289510"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2.652</w:t>
            </w:r>
          </w:p>
        </w:tc>
        <w:tc>
          <w:tcPr>
            <w:tcW w:w="850" w:type="dxa"/>
            <w:tcBorders>
              <w:top w:val="nil"/>
              <w:left w:val="nil"/>
              <w:bottom w:val="nil"/>
              <w:right w:val="nil"/>
            </w:tcBorders>
            <w:vAlign w:val="center"/>
          </w:tcPr>
          <w:p w14:paraId="63B271BD" w14:textId="63B3056F"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3.725</w:t>
            </w:r>
          </w:p>
        </w:tc>
        <w:tc>
          <w:tcPr>
            <w:tcW w:w="850" w:type="dxa"/>
            <w:tcBorders>
              <w:top w:val="nil"/>
              <w:left w:val="nil"/>
              <w:bottom w:val="nil"/>
              <w:right w:val="nil"/>
            </w:tcBorders>
            <w:vAlign w:val="center"/>
          </w:tcPr>
          <w:p w14:paraId="4FC24ABB" w14:textId="6312685E"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 xml:space="preserve">3.544    </w:t>
            </w:r>
          </w:p>
        </w:tc>
        <w:tc>
          <w:tcPr>
            <w:tcW w:w="850" w:type="dxa"/>
            <w:tcBorders>
              <w:top w:val="nil"/>
              <w:left w:val="nil"/>
              <w:bottom w:val="nil"/>
              <w:right w:val="nil"/>
            </w:tcBorders>
            <w:vAlign w:val="center"/>
          </w:tcPr>
          <w:p w14:paraId="6BB9D76D" w14:textId="543ACD0B"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4.808</w:t>
            </w:r>
          </w:p>
        </w:tc>
      </w:tr>
      <w:tr w:rsidR="00312768" w:rsidRPr="00C37CE9" w14:paraId="45D097EE" w14:textId="77777777" w:rsidTr="00960C84">
        <w:trPr>
          <w:jc w:val="center"/>
        </w:trPr>
        <w:tc>
          <w:tcPr>
            <w:tcW w:w="1701" w:type="dxa"/>
            <w:vMerge/>
            <w:tcBorders>
              <w:top w:val="nil"/>
              <w:left w:val="nil"/>
              <w:bottom w:val="nil"/>
              <w:right w:val="nil"/>
            </w:tcBorders>
            <w:vAlign w:val="center"/>
          </w:tcPr>
          <w:p w14:paraId="7CF469CF" w14:textId="77777777" w:rsidR="00312768" w:rsidRPr="00AD3095" w:rsidRDefault="00312768" w:rsidP="00312768">
            <w:pPr>
              <w:jc w:val="center"/>
              <w:rPr>
                <w:rFonts w:ascii="Times New Roman" w:hAnsi="Times New Roman"/>
                <w:i/>
                <w:iCs/>
                <w:sz w:val="16"/>
                <w:szCs w:val="16"/>
              </w:rPr>
            </w:pPr>
          </w:p>
        </w:tc>
        <w:tc>
          <w:tcPr>
            <w:tcW w:w="1077" w:type="dxa"/>
            <w:tcBorders>
              <w:top w:val="nil"/>
              <w:left w:val="nil"/>
              <w:bottom w:val="nil"/>
              <w:right w:val="nil"/>
            </w:tcBorders>
          </w:tcPr>
          <w:p w14:paraId="478C1EF0" w14:textId="39B7BE16"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Pr="00312768">
              <w:rPr>
                <w:rFonts w:ascii="Times New Roman" w:hAnsi="Times New Roman"/>
                <w:i/>
                <w:iCs/>
                <w:sz w:val="16"/>
                <w:szCs w:val="16"/>
                <w:lang w:val="en-US"/>
              </w:rPr>
              <w:t>-3.767</w:t>
            </w:r>
          </w:p>
        </w:tc>
        <w:tc>
          <w:tcPr>
            <w:tcW w:w="850" w:type="dxa"/>
            <w:tcBorders>
              <w:top w:val="nil"/>
              <w:left w:val="nil"/>
              <w:bottom w:val="nil"/>
              <w:right w:val="nil"/>
            </w:tcBorders>
            <w:vAlign w:val="center"/>
          </w:tcPr>
          <w:p w14:paraId="658BB706" w14:textId="0D472211"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-2.525</w:t>
            </w:r>
          </w:p>
        </w:tc>
        <w:tc>
          <w:tcPr>
            <w:tcW w:w="850" w:type="dxa"/>
            <w:tcBorders>
              <w:top w:val="nil"/>
              <w:left w:val="nil"/>
              <w:bottom w:val="nil"/>
              <w:right w:val="nil"/>
            </w:tcBorders>
            <w:vAlign w:val="center"/>
          </w:tcPr>
          <w:p w14:paraId="3BF95937" w14:textId="73C2EBC7"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-3.617</w:t>
            </w:r>
          </w:p>
        </w:tc>
        <w:tc>
          <w:tcPr>
            <w:tcW w:w="850" w:type="dxa"/>
            <w:tcBorders>
              <w:top w:val="nil"/>
              <w:left w:val="nil"/>
              <w:bottom w:val="nil"/>
              <w:right w:val="nil"/>
            </w:tcBorders>
            <w:vAlign w:val="center"/>
          </w:tcPr>
          <w:p w14:paraId="67E06C5E" w14:textId="4114074A"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 xml:space="preserve">-2.848   </w:t>
            </w:r>
          </w:p>
        </w:tc>
        <w:tc>
          <w:tcPr>
            <w:tcW w:w="850" w:type="dxa"/>
            <w:tcBorders>
              <w:top w:val="nil"/>
              <w:left w:val="nil"/>
              <w:bottom w:val="nil"/>
              <w:right w:val="nil"/>
            </w:tcBorders>
            <w:vAlign w:val="center"/>
          </w:tcPr>
          <w:p w14:paraId="27AA46BD" w14:textId="38687953"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-3.982</w:t>
            </w:r>
          </w:p>
        </w:tc>
        <w:tc>
          <w:tcPr>
            <w:tcW w:w="850" w:type="dxa"/>
            <w:tcBorders>
              <w:top w:val="nil"/>
              <w:left w:val="nil"/>
              <w:bottom w:val="nil"/>
              <w:right w:val="nil"/>
            </w:tcBorders>
            <w:vAlign w:val="center"/>
          </w:tcPr>
          <w:p w14:paraId="4A688C6A" w14:textId="6DE2DB80"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 xml:space="preserve">-3.486   </w:t>
            </w:r>
          </w:p>
        </w:tc>
        <w:tc>
          <w:tcPr>
            <w:tcW w:w="850" w:type="dxa"/>
            <w:tcBorders>
              <w:top w:val="nil"/>
              <w:left w:val="nil"/>
              <w:bottom w:val="nil"/>
              <w:right w:val="nil"/>
            </w:tcBorders>
            <w:vAlign w:val="center"/>
          </w:tcPr>
          <w:p w14:paraId="27DF8A7D" w14:textId="330BB593" w:rsidR="00312768" w:rsidRPr="00C37CE9" w:rsidRDefault="00312768" w:rsidP="00312768">
            <w:pPr>
              <w:jc w:val="center"/>
              <w:rPr>
                <w:rFonts w:ascii="Times New Roman" w:hAnsi="Times New Roman"/>
                <w:i/>
                <w:iCs/>
                <w:sz w:val="16"/>
                <w:szCs w:val="16"/>
                <w:lang w:val="en-US"/>
              </w:rPr>
            </w:pPr>
            <w:r w:rsidRPr="00312768">
              <w:rPr>
                <w:rFonts w:ascii="Times New Roman" w:hAnsi="Times New Roman"/>
                <w:i/>
                <w:iCs/>
                <w:sz w:val="16"/>
                <w:szCs w:val="16"/>
                <w:lang w:val="en-US"/>
              </w:rPr>
              <w:t>-4.687</w:t>
            </w:r>
          </w:p>
        </w:tc>
      </w:tr>
      <w:tr w:rsidR="00312768" w:rsidRPr="00C37CE9" w14:paraId="2FC6B05C" w14:textId="77777777" w:rsidTr="00960C84">
        <w:trPr>
          <w:jc w:val="center"/>
        </w:trPr>
        <w:tc>
          <w:tcPr>
            <w:tcW w:w="1701" w:type="dxa"/>
            <w:vMerge w:val="restart"/>
            <w:tcBorders>
              <w:top w:val="nil"/>
              <w:left w:val="nil"/>
              <w:bottom w:val="nil"/>
              <w:right w:val="nil"/>
            </w:tcBorders>
            <w:vAlign w:val="center"/>
          </w:tcPr>
          <w:p w14:paraId="6E6159FA" w14:textId="77777777" w:rsidR="00312768" w:rsidRPr="00AD3095" w:rsidRDefault="00312768"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F</w:t>
            </w:r>
          </w:p>
        </w:tc>
        <w:tc>
          <w:tcPr>
            <w:tcW w:w="1077" w:type="dxa"/>
            <w:tcBorders>
              <w:top w:val="nil"/>
              <w:left w:val="nil"/>
              <w:bottom w:val="nil"/>
              <w:right w:val="nil"/>
            </w:tcBorders>
          </w:tcPr>
          <w:p w14:paraId="27C5C7D4" w14:textId="479F2525"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000143A7" w:rsidRPr="000143A7">
              <w:rPr>
                <w:rFonts w:ascii="Times New Roman" w:hAnsi="Times New Roman"/>
                <w:i/>
                <w:iCs/>
                <w:sz w:val="16"/>
                <w:szCs w:val="16"/>
                <w:lang w:val="en-US"/>
              </w:rPr>
              <w:t>27.981</w:t>
            </w:r>
          </w:p>
        </w:tc>
        <w:tc>
          <w:tcPr>
            <w:tcW w:w="850" w:type="dxa"/>
            <w:tcBorders>
              <w:top w:val="nil"/>
              <w:left w:val="nil"/>
              <w:bottom w:val="nil"/>
              <w:right w:val="nil"/>
            </w:tcBorders>
            <w:vAlign w:val="center"/>
          </w:tcPr>
          <w:p w14:paraId="698FDB2B" w14:textId="5841C6B7" w:rsidR="00312768" w:rsidRPr="00C37CE9" w:rsidRDefault="000143A7" w:rsidP="00312768">
            <w:pPr>
              <w:jc w:val="center"/>
              <w:rPr>
                <w:rFonts w:ascii="Times New Roman" w:hAnsi="Times New Roman"/>
                <w:i/>
                <w:iCs/>
                <w:sz w:val="16"/>
                <w:szCs w:val="16"/>
                <w:lang w:val="en-US"/>
              </w:rPr>
            </w:pPr>
            <w:r w:rsidRPr="000143A7">
              <w:rPr>
                <w:rFonts w:ascii="Times New Roman" w:hAnsi="Times New Roman"/>
                <w:i/>
                <w:iCs/>
                <w:sz w:val="16"/>
                <w:szCs w:val="16"/>
                <w:lang w:val="en-US"/>
              </w:rPr>
              <w:t xml:space="preserve">2.128    </w:t>
            </w:r>
          </w:p>
        </w:tc>
        <w:tc>
          <w:tcPr>
            <w:tcW w:w="850" w:type="dxa"/>
            <w:tcBorders>
              <w:top w:val="nil"/>
              <w:left w:val="nil"/>
              <w:bottom w:val="nil"/>
              <w:right w:val="nil"/>
            </w:tcBorders>
            <w:vAlign w:val="center"/>
          </w:tcPr>
          <w:p w14:paraId="4ED7E194" w14:textId="6E7146E6" w:rsidR="00312768" w:rsidRPr="00C37CE9" w:rsidRDefault="000143A7" w:rsidP="00312768">
            <w:pPr>
              <w:jc w:val="center"/>
              <w:rPr>
                <w:rFonts w:ascii="Times New Roman" w:hAnsi="Times New Roman"/>
                <w:i/>
                <w:iCs/>
                <w:sz w:val="16"/>
                <w:szCs w:val="16"/>
                <w:lang w:val="en-US"/>
              </w:rPr>
            </w:pPr>
            <w:r w:rsidRPr="000143A7">
              <w:rPr>
                <w:rFonts w:ascii="Times New Roman" w:hAnsi="Times New Roman"/>
                <w:i/>
                <w:iCs/>
                <w:sz w:val="16"/>
                <w:szCs w:val="16"/>
                <w:lang w:val="en-US"/>
              </w:rPr>
              <w:t>3.182</w:t>
            </w:r>
          </w:p>
        </w:tc>
        <w:tc>
          <w:tcPr>
            <w:tcW w:w="850" w:type="dxa"/>
            <w:tcBorders>
              <w:top w:val="nil"/>
              <w:left w:val="nil"/>
              <w:bottom w:val="nil"/>
              <w:right w:val="nil"/>
            </w:tcBorders>
            <w:vAlign w:val="center"/>
          </w:tcPr>
          <w:p w14:paraId="4AF5C641" w14:textId="339355ED"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 xml:space="preserve">2.492    </w:t>
            </w:r>
          </w:p>
        </w:tc>
        <w:tc>
          <w:tcPr>
            <w:tcW w:w="850" w:type="dxa"/>
            <w:tcBorders>
              <w:top w:val="nil"/>
              <w:left w:val="nil"/>
              <w:bottom w:val="nil"/>
              <w:right w:val="nil"/>
            </w:tcBorders>
            <w:vAlign w:val="center"/>
          </w:tcPr>
          <w:p w14:paraId="51C37D22" w14:textId="36542F0E"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3.648</w:t>
            </w:r>
          </w:p>
        </w:tc>
        <w:tc>
          <w:tcPr>
            <w:tcW w:w="850" w:type="dxa"/>
            <w:tcBorders>
              <w:top w:val="nil"/>
              <w:left w:val="nil"/>
              <w:bottom w:val="nil"/>
              <w:right w:val="nil"/>
            </w:tcBorders>
            <w:vAlign w:val="center"/>
          </w:tcPr>
          <w:p w14:paraId="53A4732B" w14:textId="32E01E58"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 xml:space="preserve">3.308    </w:t>
            </w:r>
          </w:p>
        </w:tc>
        <w:tc>
          <w:tcPr>
            <w:tcW w:w="850" w:type="dxa"/>
            <w:tcBorders>
              <w:top w:val="nil"/>
              <w:left w:val="nil"/>
              <w:bottom w:val="nil"/>
              <w:right w:val="nil"/>
            </w:tcBorders>
            <w:vAlign w:val="center"/>
          </w:tcPr>
          <w:p w14:paraId="66E30F16" w14:textId="5AF8D7E8"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4.677</w:t>
            </w:r>
          </w:p>
        </w:tc>
      </w:tr>
      <w:tr w:rsidR="00312768" w:rsidRPr="00C37CE9" w14:paraId="0EABA8DB" w14:textId="77777777" w:rsidTr="00960C84">
        <w:trPr>
          <w:jc w:val="center"/>
        </w:trPr>
        <w:tc>
          <w:tcPr>
            <w:tcW w:w="1701" w:type="dxa"/>
            <w:vMerge/>
            <w:tcBorders>
              <w:top w:val="nil"/>
              <w:left w:val="nil"/>
              <w:bottom w:val="nil"/>
              <w:right w:val="nil"/>
            </w:tcBorders>
            <w:vAlign w:val="center"/>
          </w:tcPr>
          <w:p w14:paraId="74688C71" w14:textId="77777777" w:rsidR="00312768" w:rsidRPr="00AD3095" w:rsidRDefault="00312768" w:rsidP="00312768">
            <w:pPr>
              <w:jc w:val="center"/>
              <w:rPr>
                <w:rFonts w:ascii="Times New Roman" w:hAnsi="Times New Roman"/>
                <w:i/>
                <w:iCs/>
                <w:sz w:val="16"/>
                <w:szCs w:val="16"/>
              </w:rPr>
            </w:pPr>
          </w:p>
        </w:tc>
        <w:tc>
          <w:tcPr>
            <w:tcW w:w="1077" w:type="dxa"/>
            <w:tcBorders>
              <w:top w:val="nil"/>
              <w:left w:val="nil"/>
              <w:bottom w:val="nil"/>
              <w:right w:val="nil"/>
            </w:tcBorders>
          </w:tcPr>
          <w:p w14:paraId="69E0AEC7" w14:textId="5EA8D64C"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000143A7" w:rsidRPr="000143A7">
              <w:rPr>
                <w:rFonts w:ascii="Times New Roman" w:hAnsi="Times New Roman"/>
                <w:i/>
                <w:iCs/>
                <w:sz w:val="16"/>
                <w:szCs w:val="16"/>
                <w:lang w:val="en-US"/>
              </w:rPr>
              <w:t>-5.363</w:t>
            </w:r>
          </w:p>
        </w:tc>
        <w:tc>
          <w:tcPr>
            <w:tcW w:w="850" w:type="dxa"/>
            <w:tcBorders>
              <w:top w:val="nil"/>
              <w:left w:val="nil"/>
              <w:bottom w:val="nil"/>
              <w:right w:val="nil"/>
            </w:tcBorders>
            <w:vAlign w:val="center"/>
          </w:tcPr>
          <w:p w14:paraId="6B9DFF80" w14:textId="27C8E742"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 xml:space="preserve">-2.505   </w:t>
            </w:r>
          </w:p>
        </w:tc>
        <w:tc>
          <w:tcPr>
            <w:tcW w:w="850" w:type="dxa"/>
            <w:tcBorders>
              <w:top w:val="nil"/>
              <w:left w:val="nil"/>
              <w:bottom w:val="nil"/>
              <w:right w:val="nil"/>
            </w:tcBorders>
            <w:vAlign w:val="center"/>
          </w:tcPr>
          <w:p w14:paraId="275FD154" w14:textId="615C951C"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-3.801</w:t>
            </w:r>
          </w:p>
        </w:tc>
        <w:tc>
          <w:tcPr>
            <w:tcW w:w="850" w:type="dxa"/>
            <w:tcBorders>
              <w:top w:val="nil"/>
              <w:left w:val="nil"/>
              <w:bottom w:val="nil"/>
              <w:right w:val="nil"/>
            </w:tcBorders>
            <w:vAlign w:val="center"/>
          </w:tcPr>
          <w:p w14:paraId="21EE58DC" w14:textId="7623853B"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 xml:space="preserve">-2.833   </w:t>
            </w:r>
          </w:p>
        </w:tc>
        <w:tc>
          <w:tcPr>
            <w:tcW w:w="850" w:type="dxa"/>
            <w:tcBorders>
              <w:top w:val="nil"/>
              <w:left w:val="nil"/>
              <w:bottom w:val="nil"/>
              <w:right w:val="nil"/>
            </w:tcBorders>
            <w:vAlign w:val="center"/>
          </w:tcPr>
          <w:p w14:paraId="4FD3C57D" w14:textId="4BBB2FD4"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-4.179</w:t>
            </w:r>
          </w:p>
        </w:tc>
        <w:tc>
          <w:tcPr>
            <w:tcW w:w="850" w:type="dxa"/>
            <w:tcBorders>
              <w:top w:val="nil"/>
              <w:left w:val="nil"/>
              <w:bottom w:val="nil"/>
              <w:right w:val="nil"/>
            </w:tcBorders>
            <w:vAlign w:val="center"/>
          </w:tcPr>
          <w:p w14:paraId="0A4C36E3" w14:textId="7CAA322F"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 xml:space="preserve">-3.481   </w:t>
            </w:r>
          </w:p>
        </w:tc>
        <w:tc>
          <w:tcPr>
            <w:tcW w:w="850" w:type="dxa"/>
            <w:tcBorders>
              <w:top w:val="nil"/>
              <w:left w:val="nil"/>
              <w:bottom w:val="nil"/>
              <w:right w:val="nil"/>
            </w:tcBorders>
            <w:vAlign w:val="center"/>
          </w:tcPr>
          <w:p w14:paraId="28E25A37" w14:textId="28543FEB" w:rsidR="00312768" w:rsidRPr="00C37CE9" w:rsidRDefault="00CE45F8" w:rsidP="00312768">
            <w:pPr>
              <w:jc w:val="center"/>
              <w:rPr>
                <w:rFonts w:ascii="Times New Roman" w:hAnsi="Times New Roman"/>
                <w:i/>
                <w:iCs/>
                <w:sz w:val="16"/>
                <w:szCs w:val="16"/>
                <w:lang w:val="en-US"/>
              </w:rPr>
            </w:pPr>
            <w:r w:rsidRPr="00CE45F8">
              <w:rPr>
                <w:rFonts w:ascii="Times New Roman" w:hAnsi="Times New Roman"/>
                <w:i/>
                <w:iCs/>
                <w:sz w:val="16"/>
                <w:szCs w:val="16"/>
                <w:lang w:val="en-US"/>
              </w:rPr>
              <w:t>-4.911</w:t>
            </w:r>
          </w:p>
        </w:tc>
      </w:tr>
      <w:tr w:rsidR="00312768" w:rsidRPr="00C37CE9" w14:paraId="01931F0A" w14:textId="77777777" w:rsidTr="00960C84">
        <w:trPr>
          <w:jc w:val="center"/>
        </w:trPr>
        <w:tc>
          <w:tcPr>
            <w:tcW w:w="1701" w:type="dxa"/>
            <w:vMerge w:val="restart"/>
            <w:tcBorders>
              <w:top w:val="nil"/>
              <w:left w:val="nil"/>
              <w:bottom w:val="nil"/>
              <w:right w:val="nil"/>
            </w:tcBorders>
            <w:vAlign w:val="center"/>
          </w:tcPr>
          <w:p w14:paraId="6A7987DD" w14:textId="77777777" w:rsidR="00312768" w:rsidRPr="00AD3095" w:rsidRDefault="00312768"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G</w:t>
            </w:r>
          </w:p>
        </w:tc>
        <w:tc>
          <w:tcPr>
            <w:tcW w:w="1077" w:type="dxa"/>
            <w:tcBorders>
              <w:top w:val="nil"/>
              <w:left w:val="nil"/>
              <w:bottom w:val="nil"/>
              <w:right w:val="nil"/>
            </w:tcBorders>
          </w:tcPr>
          <w:p w14:paraId="535E0CDD" w14:textId="7BB14A3A"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006E1F14" w:rsidRPr="006E1F14">
              <w:rPr>
                <w:rFonts w:ascii="Times New Roman" w:hAnsi="Times New Roman"/>
                <w:i/>
                <w:iCs/>
                <w:sz w:val="16"/>
                <w:szCs w:val="16"/>
                <w:lang w:val="en-US"/>
              </w:rPr>
              <w:t>5.534</w:t>
            </w:r>
          </w:p>
        </w:tc>
        <w:tc>
          <w:tcPr>
            <w:tcW w:w="850" w:type="dxa"/>
            <w:tcBorders>
              <w:top w:val="nil"/>
              <w:left w:val="nil"/>
              <w:bottom w:val="nil"/>
              <w:right w:val="nil"/>
            </w:tcBorders>
            <w:vAlign w:val="center"/>
          </w:tcPr>
          <w:p w14:paraId="5A20637C" w14:textId="7378BC39"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 xml:space="preserve">2.248    </w:t>
            </w:r>
          </w:p>
        </w:tc>
        <w:tc>
          <w:tcPr>
            <w:tcW w:w="850" w:type="dxa"/>
            <w:tcBorders>
              <w:top w:val="nil"/>
              <w:left w:val="nil"/>
              <w:bottom w:val="nil"/>
              <w:right w:val="nil"/>
            </w:tcBorders>
            <w:vAlign w:val="center"/>
          </w:tcPr>
          <w:p w14:paraId="279566C9" w14:textId="79D9D40F"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3.238</w:t>
            </w:r>
          </w:p>
        </w:tc>
        <w:tc>
          <w:tcPr>
            <w:tcW w:w="850" w:type="dxa"/>
            <w:tcBorders>
              <w:top w:val="nil"/>
              <w:left w:val="nil"/>
              <w:bottom w:val="nil"/>
              <w:right w:val="nil"/>
            </w:tcBorders>
            <w:vAlign w:val="center"/>
          </w:tcPr>
          <w:p w14:paraId="29950596" w14:textId="1DF314AC"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 xml:space="preserve">2.645    </w:t>
            </w:r>
          </w:p>
        </w:tc>
        <w:tc>
          <w:tcPr>
            <w:tcW w:w="850" w:type="dxa"/>
            <w:tcBorders>
              <w:top w:val="nil"/>
              <w:left w:val="nil"/>
              <w:bottom w:val="nil"/>
              <w:right w:val="nil"/>
            </w:tcBorders>
            <w:vAlign w:val="center"/>
          </w:tcPr>
          <w:p w14:paraId="550419CB" w14:textId="116CDE08"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3.731</w:t>
            </w:r>
          </w:p>
        </w:tc>
        <w:tc>
          <w:tcPr>
            <w:tcW w:w="850" w:type="dxa"/>
            <w:tcBorders>
              <w:top w:val="nil"/>
              <w:left w:val="nil"/>
              <w:bottom w:val="nil"/>
              <w:right w:val="nil"/>
            </w:tcBorders>
            <w:vAlign w:val="center"/>
          </w:tcPr>
          <w:p w14:paraId="195E5378" w14:textId="6ECE83E3"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 xml:space="preserve">3.538    </w:t>
            </w:r>
          </w:p>
        </w:tc>
        <w:tc>
          <w:tcPr>
            <w:tcW w:w="850" w:type="dxa"/>
            <w:tcBorders>
              <w:top w:val="nil"/>
              <w:left w:val="nil"/>
              <w:bottom w:val="nil"/>
              <w:right w:val="nil"/>
            </w:tcBorders>
            <w:vAlign w:val="center"/>
          </w:tcPr>
          <w:p w14:paraId="52B4EA73" w14:textId="03A67B9A"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4.821</w:t>
            </w:r>
          </w:p>
        </w:tc>
      </w:tr>
      <w:tr w:rsidR="00312768" w:rsidRPr="00C37CE9" w14:paraId="6B8E704A" w14:textId="77777777" w:rsidTr="00960C84">
        <w:trPr>
          <w:jc w:val="center"/>
        </w:trPr>
        <w:tc>
          <w:tcPr>
            <w:tcW w:w="1701" w:type="dxa"/>
            <w:vMerge/>
            <w:tcBorders>
              <w:top w:val="nil"/>
              <w:left w:val="nil"/>
              <w:bottom w:val="nil"/>
              <w:right w:val="nil"/>
            </w:tcBorders>
            <w:vAlign w:val="center"/>
          </w:tcPr>
          <w:p w14:paraId="041A6D45" w14:textId="77777777" w:rsidR="00312768" w:rsidRPr="00AD3095" w:rsidRDefault="00312768" w:rsidP="00312768">
            <w:pPr>
              <w:jc w:val="center"/>
              <w:rPr>
                <w:rFonts w:ascii="Times New Roman" w:hAnsi="Times New Roman"/>
                <w:i/>
                <w:iCs/>
                <w:sz w:val="16"/>
                <w:szCs w:val="16"/>
              </w:rPr>
            </w:pPr>
          </w:p>
        </w:tc>
        <w:tc>
          <w:tcPr>
            <w:tcW w:w="1077" w:type="dxa"/>
            <w:tcBorders>
              <w:top w:val="nil"/>
              <w:left w:val="nil"/>
              <w:bottom w:val="nil"/>
              <w:right w:val="nil"/>
            </w:tcBorders>
          </w:tcPr>
          <w:p w14:paraId="04DEB11C" w14:textId="4B0B3F13"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006E1F14" w:rsidRPr="006E1F14">
              <w:rPr>
                <w:rFonts w:ascii="Times New Roman" w:hAnsi="Times New Roman"/>
                <w:i/>
                <w:iCs/>
                <w:sz w:val="16"/>
                <w:szCs w:val="16"/>
                <w:lang w:val="en-US"/>
              </w:rPr>
              <w:t>-5.080</w:t>
            </w:r>
          </w:p>
        </w:tc>
        <w:tc>
          <w:tcPr>
            <w:tcW w:w="850" w:type="dxa"/>
            <w:tcBorders>
              <w:top w:val="nil"/>
              <w:left w:val="nil"/>
              <w:bottom w:val="nil"/>
              <w:right w:val="nil"/>
            </w:tcBorders>
            <w:vAlign w:val="center"/>
          </w:tcPr>
          <w:p w14:paraId="6E3D3141" w14:textId="6DB5E967"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 xml:space="preserve">-2.519   </w:t>
            </w:r>
          </w:p>
        </w:tc>
        <w:tc>
          <w:tcPr>
            <w:tcW w:w="850" w:type="dxa"/>
            <w:tcBorders>
              <w:top w:val="nil"/>
              <w:left w:val="nil"/>
              <w:bottom w:val="nil"/>
              <w:right w:val="nil"/>
            </w:tcBorders>
            <w:vAlign w:val="center"/>
          </w:tcPr>
          <w:p w14:paraId="3C978061" w14:textId="76C80D80"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-3.610</w:t>
            </w:r>
          </w:p>
        </w:tc>
        <w:tc>
          <w:tcPr>
            <w:tcW w:w="850" w:type="dxa"/>
            <w:tcBorders>
              <w:top w:val="nil"/>
              <w:left w:val="nil"/>
              <w:bottom w:val="nil"/>
              <w:right w:val="nil"/>
            </w:tcBorders>
            <w:vAlign w:val="center"/>
          </w:tcPr>
          <w:p w14:paraId="1B24D1B2" w14:textId="3948B787"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 xml:space="preserve">-2.843   </w:t>
            </w:r>
          </w:p>
        </w:tc>
        <w:tc>
          <w:tcPr>
            <w:tcW w:w="850" w:type="dxa"/>
            <w:tcBorders>
              <w:top w:val="nil"/>
              <w:left w:val="nil"/>
              <w:bottom w:val="nil"/>
              <w:right w:val="nil"/>
            </w:tcBorders>
            <w:vAlign w:val="center"/>
          </w:tcPr>
          <w:p w14:paraId="6E8D65F0" w14:textId="35B5877E"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-3.976</w:t>
            </w:r>
          </w:p>
        </w:tc>
        <w:tc>
          <w:tcPr>
            <w:tcW w:w="850" w:type="dxa"/>
            <w:tcBorders>
              <w:top w:val="nil"/>
              <w:left w:val="nil"/>
              <w:bottom w:val="nil"/>
              <w:right w:val="nil"/>
            </w:tcBorders>
            <w:vAlign w:val="center"/>
          </w:tcPr>
          <w:p w14:paraId="418CA4F1" w14:textId="0B1F2CBF"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 xml:space="preserve">-3.483   </w:t>
            </w:r>
          </w:p>
        </w:tc>
        <w:tc>
          <w:tcPr>
            <w:tcW w:w="850" w:type="dxa"/>
            <w:tcBorders>
              <w:top w:val="nil"/>
              <w:left w:val="nil"/>
              <w:bottom w:val="nil"/>
              <w:right w:val="nil"/>
            </w:tcBorders>
            <w:vAlign w:val="center"/>
          </w:tcPr>
          <w:p w14:paraId="4BA09C06" w14:textId="46045C80" w:rsidR="00312768" w:rsidRPr="00C37CE9" w:rsidRDefault="006E1F14" w:rsidP="00312768">
            <w:pPr>
              <w:jc w:val="center"/>
              <w:rPr>
                <w:rFonts w:ascii="Times New Roman" w:hAnsi="Times New Roman"/>
                <w:i/>
                <w:iCs/>
                <w:sz w:val="16"/>
                <w:szCs w:val="16"/>
                <w:lang w:val="en-US"/>
              </w:rPr>
            </w:pPr>
            <w:r w:rsidRPr="006E1F14">
              <w:rPr>
                <w:rFonts w:ascii="Times New Roman" w:hAnsi="Times New Roman"/>
                <w:i/>
                <w:iCs/>
                <w:sz w:val="16"/>
                <w:szCs w:val="16"/>
                <w:lang w:val="en-US"/>
              </w:rPr>
              <w:t>-4.684</w:t>
            </w:r>
          </w:p>
        </w:tc>
      </w:tr>
      <w:tr w:rsidR="00312768" w:rsidRPr="00C37CE9" w14:paraId="4EC8FEF4" w14:textId="77777777" w:rsidTr="00960C84">
        <w:trPr>
          <w:jc w:val="center"/>
        </w:trPr>
        <w:tc>
          <w:tcPr>
            <w:tcW w:w="1701" w:type="dxa"/>
            <w:vMerge w:val="restart"/>
            <w:tcBorders>
              <w:top w:val="nil"/>
              <w:left w:val="nil"/>
              <w:bottom w:val="nil"/>
              <w:right w:val="nil"/>
            </w:tcBorders>
            <w:vAlign w:val="center"/>
          </w:tcPr>
          <w:p w14:paraId="5276A61E" w14:textId="77777777" w:rsidR="00312768" w:rsidRPr="00AD3095" w:rsidRDefault="00312768" w:rsidP="00312768">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H</w:t>
            </w:r>
          </w:p>
        </w:tc>
        <w:tc>
          <w:tcPr>
            <w:tcW w:w="1077" w:type="dxa"/>
            <w:tcBorders>
              <w:top w:val="nil"/>
              <w:left w:val="nil"/>
              <w:bottom w:val="nil"/>
              <w:right w:val="nil"/>
            </w:tcBorders>
          </w:tcPr>
          <w:p w14:paraId="2CCFA1A5" w14:textId="63DA9227"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F = </w:t>
            </w:r>
            <w:r w:rsidR="00160163" w:rsidRPr="00160163">
              <w:rPr>
                <w:rFonts w:ascii="Times New Roman" w:hAnsi="Times New Roman"/>
                <w:i/>
                <w:iCs/>
                <w:sz w:val="16"/>
                <w:szCs w:val="16"/>
                <w:lang w:val="en-US"/>
              </w:rPr>
              <w:t>6.622</w:t>
            </w:r>
          </w:p>
        </w:tc>
        <w:tc>
          <w:tcPr>
            <w:tcW w:w="850" w:type="dxa"/>
            <w:tcBorders>
              <w:top w:val="nil"/>
              <w:left w:val="nil"/>
              <w:bottom w:val="nil"/>
              <w:right w:val="nil"/>
            </w:tcBorders>
            <w:vAlign w:val="center"/>
          </w:tcPr>
          <w:p w14:paraId="3478FB21" w14:textId="279691F4"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 xml:space="preserve">2.248    </w:t>
            </w:r>
          </w:p>
        </w:tc>
        <w:tc>
          <w:tcPr>
            <w:tcW w:w="850" w:type="dxa"/>
            <w:tcBorders>
              <w:top w:val="nil"/>
              <w:left w:val="nil"/>
              <w:bottom w:val="nil"/>
              <w:right w:val="nil"/>
            </w:tcBorders>
            <w:vAlign w:val="center"/>
          </w:tcPr>
          <w:p w14:paraId="2046DFB5" w14:textId="5669FB75"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3.238</w:t>
            </w:r>
          </w:p>
        </w:tc>
        <w:tc>
          <w:tcPr>
            <w:tcW w:w="850" w:type="dxa"/>
            <w:tcBorders>
              <w:top w:val="nil"/>
              <w:left w:val="nil"/>
              <w:bottom w:val="nil"/>
              <w:right w:val="nil"/>
            </w:tcBorders>
            <w:vAlign w:val="center"/>
          </w:tcPr>
          <w:p w14:paraId="5A00D781" w14:textId="76D1191A"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 xml:space="preserve">2.645    </w:t>
            </w:r>
          </w:p>
        </w:tc>
        <w:tc>
          <w:tcPr>
            <w:tcW w:w="850" w:type="dxa"/>
            <w:tcBorders>
              <w:top w:val="nil"/>
              <w:left w:val="nil"/>
              <w:bottom w:val="nil"/>
              <w:right w:val="nil"/>
            </w:tcBorders>
            <w:vAlign w:val="center"/>
          </w:tcPr>
          <w:p w14:paraId="6D5844E8" w14:textId="4EBCF208"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3.731</w:t>
            </w:r>
          </w:p>
        </w:tc>
        <w:tc>
          <w:tcPr>
            <w:tcW w:w="850" w:type="dxa"/>
            <w:tcBorders>
              <w:top w:val="nil"/>
              <w:left w:val="nil"/>
              <w:bottom w:val="nil"/>
              <w:right w:val="nil"/>
            </w:tcBorders>
            <w:vAlign w:val="center"/>
          </w:tcPr>
          <w:p w14:paraId="6E585856" w14:textId="2E7A71F0"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 xml:space="preserve">3.538    </w:t>
            </w:r>
          </w:p>
        </w:tc>
        <w:tc>
          <w:tcPr>
            <w:tcW w:w="850" w:type="dxa"/>
            <w:tcBorders>
              <w:top w:val="nil"/>
              <w:left w:val="nil"/>
              <w:bottom w:val="nil"/>
              <w:right w:val="nil"/>
            </w:tcBorders>
            <w:vAlign w:val="center"/>
          </w:tcPr>
          <w:p w14:paraId="4E41D659" w14:textId="2A71E11A"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4.821</w:t>
            </w:r>
          </w:p>
        </w:tc>
      </w:tr>
      <w:tr w:rsidR="00312768" w:rsidRPr="00C37CE9" w14:paraId="7CDBAAA6" w14:textId="77777777" w:rsidTr="00960C84">
        <w:trPr>
          <w:jc w:val="center"/>
        </w:trPr>
        <w:tc>
          <w:tcPr>
            <w:tcW w:w="1701" w:type="dxa"/>
            <w:vMerge/>
            <w:tcBorders>
              <w:top w:val="nil"/>
              <w:left w:val="nil"/>
              <w:bottom w:val="single" w:sz="4" w:space="0" w:color="auto"/>
              <w:right w:val="nil"/>
            </w:tcBorders>
            <w:vAlign w:val="center"/>
          </w:tcPr>
          <w:p w14:paraId="0FE9C2B1" w14:textId="77777777" w:rsidR="00312768" w:rsidRPr="00AD3095" w:rsidRDefault="00312768" w:rsidP="00312768">
            <w:pPr>
              <w:jc w:val="center"/>
              <w:rPr>
                <w:rFonts w:ascii="Times New Roman" w:hAnsi="Times New Roman"/>
                <w:i/>
                <w:iCs/>
                <w:sz w:val="16"/>
                <w:szCs w:val="16"/>
              </w:rPr>
            </w:pPr>
          </w:p>
        </w:tc>
        <w:tc>
          <w:tcPr>
            <w:tcW w:w="1077" w:type="dxa"/>
            <w:tcBorders>
              <w:top w:val="nil"/>
              <w:left w:val="nil"/>
              <w:bottom w:val="single" w:sz="4" w:space="0" w:color="auto"/>
              <w:right w:val="nil"/>
            </w:tcBorders>
          </w:tcPr>
          <w:p w14:paraId="15DEB0EF" w14:textId="6CF59672" w:rsidR="00312768" w:rsidRPr="00C37CE9" w:rsidRDefault="00312768" w:rsidP="00312768">
            <w:pPr>
              <w:jc w:val="center"/>
              <w:rPr>
                <w:rFonts w:ascii="Times New Roman" w:hAnsi="Times New Roman"/>
                <w:i/>
                <w:iCs/>
                <w:sz w:val="16"/>
                <w:szCs w:val="16"/>
                <w:lang w:val="en-US"/>
              </w:rPr>
            </w:pPr>
            <w:r w:rsidRPr="00C37CE9">
              <w:rPr>
                <w:rFonts w:ascii="Times New Roman" w:hAnsi="Times New Roman"/>
                <w:i/>
                <w:iCs/>
                <w:sz w:val="16"/>
                <w:szCs w:val="16"/>
                <w:lang w:val="en-US"/>
              </w:rPr>
              <w:t xml:space="preserve">t = </w:t>
            </w:r>
            <w:r w:rsidR="00160163" w:rsidRPr="00160163">
              <w:rPr>
                <w:rFonts w:ascii="Times New Roman" w:hAnsi="Times New Roman"/>
                <w:i/>
                <w:iCs/>
                <w:sz w:val="16"/>
                <w:szCs w:val="16"/>
                <w:lang w:val="en-US"/>
              </w:rPr>
              <w:t>-4.991</w:t>
            </w:r>
          </w:p>
        </w:tc>
        <w:tc>
          <w:tcPr>
            <w:tcW w:w="850" w:type="dxa"/>
            <w:tcBorders>
              <w:top w:val="nil"/>
              <w:left w:val="nil"/>
              <w:bottom w:val="single" w:sz="4" w:space="0" w:color="auto"/>
              <w:right w:val="nil"/>
            </w:tcBorders>
            <w:vAlign w:val="center"/>
          </w:tcPr>
          <w:p w14:paraId="1B366FE2" w14:textId="35D9897E"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 xml:space="preserve">-2.519   </w:t>
            </w:r>
          </w:p>
        </w:tc>
        <w:tc>
          <w:tcPr>
            <w:tcW w:w="850" w:type="dxa"/>
            <w:tcBorders>
              <w:top w:val="nil"/>
              <w:left w:val="nil"/>
              <w:bottom w:val="single" w:sz="4" w:space="0" w:color="auto"/>
              <w:right w:val="nil"/>
            </w:tcBorders>
            <w:vAlign w:val="center"/>
          </w:tcPr>
          <w:p w14:paraId="126EE747" w14:textId="757C6E41"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-3.610</w:t>
            </w:r>
          </w:p>
        </w:tc>
        <w:tc>
          <w:tcPr>
            <w:tcW w:w="850" w:type="dxa"/>
            <w:tcBorders>
              <w:top w:val="nil"/>
              <w:left w:val="nil"/>
              <w:bottom w:val="single" w:sz="4" w:space="0" w:color="auto"/>
              <w:right w:val="nil"/>
            </w:tcBorders>
            <w:vAlign w:val="center"/>
          </w:tcPr>
          <w:p w14:paraId="43AB4EC8" w14:textId="325B3C13"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 xml:space="preserve">-2.843   </w:t>
            </w:r>
          </w:p>
        </w:tc>
        <w:tc>
          <w:tcPr>
            <w:tcW w:w="850" w:type="dxa"/>
            <w:tcBorders>
              <w:top w:val="nil"/>
              <w:left w:val="nil"/>
              <w:bottom w:val="single" w:sz="4" w:space="0" w:color="auto"/>
              <w:right w:val="nil"/>
            </w:tcBorders>
            <w:vAlign w:val="center"/>
          </w:tcPr>
          <w:p w14:paraId="1DFA2D25" w14:textId="711C6D0E"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-3.976</w:t>
            </w:r>
          </w:p>
        </w:tc>
        <w:tc>
          <w:tcPr>
            <w:tcW w:w="850" w:type="dxa"/>
            <w:tcBorders>
              <w:top w:val="nil"/>
              <w:left w:val="nil"/>
              <w:bottom w:val="single" w:sz="4" w:space="0" w:color="auto"/>
              <w:right w:val="nil"/>
            </w:tcBorders>
            <w:vAlign w:val="center"/>
          </w:tcPr>
          <w:p w14:paraId="21A299CB" w14:textId="7FEB8D68"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 xml:space="preserve">-3.483   </w:t>
            </w:r>
          </w:p>
        </w:tc>
        <w:tc>
          <w:tcPr>
            <w:tcW w:w="850" w:type="dxa"/>
            <w:tcBorders>
              <w:top w:val="nil"/>
              <w:left w:val="nil"/>
              <w:bottom w:val="single" w:sz="4" w:space="0" w:color="auto"/>
              <w:right w:val="nil"/>
            </w:tcBorders>
            <w:vAlign w:val="center"/>
          </w:tcPr>
          <w:p w14:paraId="75F2C0CF" w14:textId="0A9CC180" w:rsidR="00312768" w:rsidRPr="00C37CE9" w:rsidRDefault="00160163" w:rsidP="00312768">
            <w:pPr>
              <w:jc w:val="center"/>
              <w:rPr>
                <w:rFonts w:ascii="Times New Roman" w:hAnsi="Times New Roman"/>
                <w:i/>
                <w:iCs/>
                <w:sz w:val="16"/>
                <w:szCs w:val="16"/>
                <w:lang w:val="en-US"/>
              </w:rPr>
            </w:pPr>
            <w:r w:rsidRPr="00160163">
              <w:rPr>
                <w:rFonts w:ascii="Times New Roman" w:hAnsi="Times New Roman"/>
                <w:i/>
                <w:iCs/>
                <w:sz w:val="16"/>
                <w:szCs w:val="16"/>
                <w:lang w:val="en-US"/>
              </w:rPr>
              <w:t>-4.684</w:t>
            </w:r>
          </w:p>
        </w:tc>
      </w:tr>
      <w:tr w:rsidR="007967F7" w:rsidRPr="00C37CE9" w14:paraId="43B969E0" w14:textId="77777777" w:rsidTr="00960C84">
        <w:trPr>
          <w:jc w:val="center"/>
        </w:trPr>
        <w:tc>
          <w:tcPr>
            <w:tcW w:w="7878" w:type="dxa"/>
            <w:gridSpan w:val="8"/>
            <w:tcBorders>
              <w:top w:val="single" w:sz="4" w:space="0" w:color="auto"/>
              <w:left w:val="nil"/>
              <w:bottom w:val="nil"/>
              <w:right w:val="nil"/>
            </w:tcBorders>
            <w:vAlign w:val="center"/>
          </w:tcPr>
          <w:p w14:paraId="11391662" w14:textId="29E84B65" w:rsidR="00960C84" w:rsidRDefault="00960C84" w:rsidP="00960C84">
            <w:pPr>
              <w:rPr>
                <w:rFonts w:ascii="Times New Roman" w:eastAsia="Times New Roman" w:hAnsi="Times New Roman" w:cs="Times New Roman"/>
                <w:color w:val="000000"/>
                <w:sz w:val="20"/>
                <w:szCs w:val="20"/>
              </w:rPr>
            </w:pPr>
            <w:r w:rsidRPr="00960C84">
              <w:rPr>
                <w:rFonts w:ascii="Times New Roman" w:eastAsia="Times New Roman" w:hAnsi="Times New Roman" w:cs="Times New Roman"/>
                <w:color w:val="000000"/>
                <w:sz w:val="20"/>
                <w:szCs w:val="20"/>
              </w:rPr>
              <w:t xml:space="preserve">Valor-p estimados entre corchetes; </w:t>
            </w:r>
            <w:r w:rsidRPr="00960C84">
              <w:rPr>
                <w:rFonts w:ascii="Times New Roman" w:eastAsia="Times New Roman" w:hAnsi="Times New Roman"/>
                <w:color w:val="000000"/>
                <w:sz w:val="20"/>
                <w:szCs w:val="20"/>
              </w:rPr>
              <w:t>Ho: No existe una relación de largo plazo</w:t>
            </w:r>
          </w:p>
          <w:p w14:paraId="21CCAA99" w14:textId="561C7575" w:rsidR="007967F7" w:rsidRPr="00EF21D7" w:rsidRDefault="00960C84" w:rsidP="00960C84">
            <w:pPr>
              <w:rPr>
                <w:rFonts w:ascii="Times New Roman" w:hAnsi="Times New Roman"/>
                <w:i/>
                <w:iCs/>
                <w:sz w:val="16"/>
                <w:szCs w:val="16"/>
              </w:rPr>
            </w:pPr>
            <w:r w:rsidRPr="00960C84">
              <w:rPr>
                <w:rFonts w:ascii="Times New Roman" w:hAnsi="Times New Roman" w:cs="Times New Roman"/>
                <w:sz w:val="20"/>
                <w:szCs w:val="20"/>
              </w:rPr>
              <w:t>Fuente: Elaboración de los autores</w:t>
            </w:r>
          </w:p>
        </w:tc>
      </w:tr>
    </w:tbl>
    <w:p w14:paraId="3B1F9C5A" w14:textId="4A611B33" w:rsidR="007967F7" w:rsidRPr="00EF21D7" w:rsidRDefault="007967F7" w:rsidP="007967F7">
      <w:pPr>
        <w:pStyle w:val="Sinespaciado"/>
        <w:rPr>
          <w:rFonts w:ascii="Times New Roman" w:hAnsi="Times New Roman" w:cs="Times New Roman"/>
          <w:sz w:val="24"/>
          <w:szCs w:val="24"/>
          <w:lang w:eastAsia="es-MX"/>
        </w:rPr>
      </w:pPr>
    </w:p>
    <w:tbl>
      <w:tblPr>
        <w:tblStyle w:val="Tablaconcuadrcula"/>
        <w:tblW w:w="6521" w:type="dxa"/>
        <w:jc w:val="center"/>
        <w:tblLook w:val="04A0" w:firstRow="1" w:lastRow="0" w:firstColumn="1" w:lastColumn="0" w:noHBand="0" w:noVBand="1"/>
      </w:tblPr>
      <w:tblGrid>
        <w:gridCol w:w="1701"/>
        <w:gridCol w:w="964"/>
        <w:gridCol w:w="964"/>
        <w:gridCol w:w="964"/>
        <w:gridCol w:w="964"/>
        <w:gridCol w:w="964"/>
      </w:tblGrid>
      <w:tr w:rsidR="00B331DD" w:rsidRPr="001175F0" w14:paraId="5C97F733" w14:textId="77777777" w:rsidTr="00960C84">
        <w:trPr>
          <w:jc w:val="center"/>
        </w:trPr>
        <w:tc>
          <w:tcPr>
            <w:tcW w:w="6521" w:type="dxa"/>
            <w:gridSpan w:val="6"/>
            <w:tcBorders>
              <w:top w:val="nil"/>
              <w:left w:val="nil"/>
              <w:bottom w:val="single" w:sz="4" w:space="0" w:color="auto"/>
              <w:right w:val="nil"/>
            </w:tcBorders>
            <w:vAlign w:val="center"/>
          </w:tcPr>
          <w:p w14:paraId="16CA2652" w14:textId="6DFE1EB6" w:rsidR="00960C84" w:rsidRDefault="00960C84" w:rsidP="00B331DD">
            <w:pPr>
              <w:rPr>
                <w:rFonts w:ascii="Times New Roman" w:eastAsia="Times New Roman" w:hAnsi="Times New Roman"/>
                <w:b/>
                <w:bCs/>
                <w:sz w:val="24"/>
                <w:szCs w:val="24"/>
              </w:rPr>
            </w:pPr>
            <w:r w:rsidRPr="00960C84">
              <w:rPr>
                <w:rFonts w:ascii="Times New Roman" w:eastAsia="Times New Roman" w:hAnsi="Times New Roman"/>
                <w:b/>
                <w:bCs/>
                <w:sz w:val="24"/>
                <w:szCs w:val="24"/>
              </w:rPr>
              <w:t xml:space="preserve">Tabla </w:t>
            </w:r>
            <w:r w:rsidR="00262E1C">
              <w:rPr>
                <w:rFonts w:ascii="Times New Roman" w:eastAsia="Times New Roman" w:hAnsi="Times New Roman"/>
                <w:b/>
                <w:bCs/>
                <w:sz w:val="24"/>
                <w:szCs w:val="24"/>
              </w:rPr>
              <w:t>3</w:t>
            </w:r>
            <w:r w:rsidR="00B331DD" w:rsidRPr="00960C84">
              <w:rPr>
                <w:rFonts w:ascii="Times New Roman" w:eastAsia="Times New Roman" w:hAnsi="Times New Roman"/>
                <w:b/>
                <w:bCs/>
                <w:sz w:val="24"/>
                <w:szCs w:val="24"/>
              </w:rPr>
              <w:t>A</w:t>
            </w:r>
          </w:p>
          <w:p w14:paraId="0BEEA0B5" w14:textId="1DC1427F" w:rsidR="00B331DD" w:rsidRPr="00960C84" w:rsidRDefault="00B331DD" w:rsidP="00B331DD">
            <w:pPr>
              <w:rPr>
                <w:rFonts w:ascii="Times New Roman" w:eastAsia="Times New Roman" w:hAnsi="Times New Roman"/>
                <w:b/>
                <w:bCs/>
                <w:sz w:val="24"/>
                <w:szCs w:val="24"/>
              </w:rPr>
            </w:pPr>
            <w:r w:rsidRPr="00960C84">
              <w:rPr>
                <w:rFonts w:ascii="Times New Roman" w:eastAsia="Times New Roman" w:hAnsi="Times New Roman"/>
                <w:b/>
                <w:bCs/>
                <w:sz w:val="24"/>
                <w:szCs w:val="24"/>
              </w:rPr>
              <w:t xml:space="preserve">Prueba LM (estadístico de </w:t>
            </w:r>
            <w:proofErr w:type="spellStart"/>
            <w:r w:rsidRPr="00960C84">
              <w:rPr>
                <w:rFonts w:ascii="Times New Roman" w:eastAsia="Times New Roman" w:hAnsi="Times New Roman"/>
                <w:b/>
                <w:bCs/>
                <w:sz w:val="24"/>
                <w:szCs w:val="24"/>
              </w:rPr>
              <w:t>Breusch</w:t>
            </w:r>
            <w:proofErr w:type="spellEnd"/>
            <w:r w:rsidRPr="00960C84">
              <w:rPr>
                <w:rFonts w:ascii="Times New Roman" w:eastAsia="Times New Roman" w:hAnsi="Times New Roman"/>
                <w:b/>
                <w:bCs/>
                <w:sz w:val="24"/>
                <w:szCs w:val="24"/>
              </w:rPr>
              <w:t>-Godfrey)</w:t>
            </w:r>
          </w:p>
        </w:tc>
      </w:tr>
      <w:tr w:rsidR="00B331DD" w:rsidRPr="001175F0" w14:paraId="50853DB0" w14:textId="77777777" w:rsidTr="00960C84">
        <w:trPr>
          <w:jc w:val="center"/>
        </w:trPr>
        <w:tc>
          <w:tcPr>
            <w:tcW w:w="1701" w:type="dxa"/>
            <w:vMerge w:val="restart"/>
            <w:tcBorders>
              <w:top w:val="single" w:sz="4" w:space="0" w:color="auto"/>
              <w:left w:val="nil"/>
              <w:bottom w:val="nil"/>
              <w:right w:val="nil"/>
            </w:tcBorders>
            <w:vAlign w:val="center"/>
          </w:tcPr>
          <w:p w14:paraId="31069B58" w14:textId="77777777" w:rsidR="00B331DD" w:rsidRPr="001175F0" w:rsidRDefault="00B331DD" w:rsidP="00EB530F">
            <w:pPr>
              <w:jc w:val="center"/>
              <w:rPr>
                <w:rFonts w:ascii="Times New Roman" w:hAnsi="Times New Roman"/>
                <w:sz w:val="18"/>
                <w:szCs w:val="18"/>
              </w:rPr>
            </w:pPr>
            <w:r>
              <w:rPr>
                <w:rFonts w:ascii="Times New Roman" w:hAnsi="Times New Roman"/>
                <w:sz w:val="18"/>
                <w:szCs w:val="18"/>
              </w:rPr>
              <w:t>Especificación</w:t>
            </w:r>
          </w:p>
        </w:tc>
        <w:tc>
          <w:tcPr>
            <w:tcW w:w="4820" w:type="dxa"/>
            <w:gridSpan w:val="5"/>
            <w:tcBorders>
              <w:top w:val="single" w:sz="4" w:space="0" w:color="auto"/>
              <w:left w:val="nil"/>
              <w:bottom w:val="nil"/>
              <w:right w:val="nil"/>
            </w:tcBorders>
            <w:shd w:val="clear" w:color="auto" w:fill="auto"/>
            <w:vAlign w:val="center"/>
          </w:tcPr>
          <w:p w14:paraId="65823DAF" w14:textId="77777777" w:rsidR="00B331DD" w:rsidRPr="001175F0" w:rsidRDefault="00B331DD" w:rsidP="00EB530F">
            <w:pPr>
              <w:jc w:val="center"/>
              <w:rPr>
                <w:rFonts w:ascii="Times New Roman" w:eastAsia="Times New Roman" w:hAnsi="Times New Roman" w:cs="Times New Roman"/>
                <w:i/>
                <w:iCs/>
                <w:color w:val="000000"/>
                <w:sz w:val="18"/>
                <w:szCs w:val="18"/>
                <w:lang w:eastAsia="es-MX"/>
              </w:rPr>
            </w:pPr>
            <w:r>
              <w:rPr>
                <w:rFonts w:ascii="Times New Roman" w:hAnsi="Times New Roman"/>
                <w:sz w:val="16"/>
                <w:szCs w:val="16"/>
              </w:rPr>
              <w:t>Rezago</w:t>
            </w:r>
            <w:r w:rsidRPr="005C2BC8">
              <w:rPr>
                <w:rFonts w:ascii="Times New Roman" w:hAnsi="Times New Roman"/>
                <w:sz w:val="16"/>
                <w:szCs w:val="16"/>
              </w:rPr>
              <w:t xml:space="preserve"> (p)</w:t>
            </w:r>
          </w:p>
        </w:tc>
      </w:tr>
      <w:tr w:rsidR="00B331DD" w:rsidRPr="001175F0" w14:paraId="71D475A6" w14:textId="77777777" w:rsidTr="00960C84">
        <w:trPr>
          <w:jc w:val="center"/>
        </w:trPr>
        <w:tc>
          <w:tcPr>
            <w:tcW w:w="1701" w:type="dxa"/>
            <w:vMerge/>
            <w:tcBorders>
              <w:top w:val="nil"/>
              <w:left w:val="nil"/>
              <w:bottom w:val="single" w:sz="4" w:space="0" w:color="auto"/>
              <w:right w:val="nil"/>
            </w:tcBorders>
            <w:vAlign w:val="center"/>
          </w:tcPr>
          <w:p w14:paraId="63CE463D" w14:textId="77777777" w:rsidR="00B331DD" w:rsidRPr="001175F0" w:rsidRDefault="00B331DD" w:rsidP="00EB530F">
            <w:pPr>
              <w:jc w:val="center"/>
              <w:rPr>
                <w:rFonts w:ascii="Times New Roman" w:hAnsi="Times New Roman"/>
                <w:sz w:val="18"/>
                <w:szCs w:val="18"/>
              </w:rPr>
            </w:pPr>
          </w:p>
        </w:tc>
        <w:tc>
          <w:tcPr>
            <w:tcW w:w="964" w:type="dxa"/>
            <w:tcBorders>
              <w:top w:val="nil"/>
              <w:left w:val="nil"/>
              <w:bottom w:val="single" w:sz="4" w:space="0" w:color="auto"/>
              <w:right w:val="nil"/>
            </w:tcBorders>
            <w:shd w:val="clear" w:color="auto" w:fill="auto"/>
            <w:vAlign w:val="center"/>
          </w:tcPr>
          <w:p w14:paraId="7B698D1D" w14:textId="77777777" w:rsidR="00B331DD" w:rsidRPr="00160163" w:rsidRDefault="00B331DD" w:rsidP="00EB530F">
            <w:pPr>
              <w:jc w:val="center"/>
              <w:rPr>
                <w:rFonts w:ascii="Times New Roman" w:eastAsia="Times New Roman" w:hAnsi="Times New Roman" w:cs="Times New Roman"/>
                <w:i/>
                <w:iCs/>
                <w:color w:val="000000"/>
                <w:sz w:val="16"/>
                <w:szCs w:val="16"/>
                <w:lang w:eastAsia="es-MX"/>
              </w:rPr>
            </w:pPr>
            <w:r w:rsidRPr="00160163">
              <w:rPr>
                <w:rFonts w:ascii="Times New Roman" w:eastAsia="Times New Roman" w:hAnsi="Times New Roman" w:cs="Times New Roman"/>
                <w:i/>
                <w:iCs/>
                <w:color w:val="000000"/>
                <w:sz w:val="16"/>
                <w:szCs w:val="16"/>
                <w:lang w:eastAsia="es-MX"/>
              </w:rPr>
              <w:t>1</w:t>
            </w:r>
          </w:p>
        </w:tc>
        <w:tc>
          <w:tcPr>
            <w:tcW w:w="964" w:type="dxa"/>
            <w:tcBorders>
              <w:top w:val="nil"/>
              <w:left w:val="nil"/>
              <w:bottom w:val="single" w:sz="4" w:space="0" w:color="auto"/>
              <w:right w:val="nil"/>
            </w:tcBorders>
            <w:shd w:val="clear" w:color="auto" w:fill="auto"/>
            <w:vAlign w:val="center"/>
          </w:tcPr>
          <w:p w14:paraId="1B579483" w14:textId="77777777" w:rsidR="00B331DD" w:rsidRPr="00160163" w:rsidRDefault="00B331DD" w:rsidP="00EB530F">
            <w:pPr>
              <w:jc w:val="center"/>
              <w:rPr>
                <w:rFonts w:ascii="Times New Roman" w:eastAsia="Times New Roman" w:hAnsi="Times New Roman" w:cs="Times New Roman"/>
                <w:i/>
                <w:iCs/>
                <w:color w:val="000000"/>
                <w:sz w:val="16"/>
                <w:szCs w:val="16"/>
                <w:lang w:eastAsia="es-MX"/>
              </w:rPr>
            </w:pPr>
            <w:r w:rsidRPr="00160163">
              <w:rPr>
                <w:rFonts w:ascii="Times New Roman" w:eastAsia="Times New Roman" w:hAnsi="Times New Roman" w:cs="Times New Roman"/>
                <w:i/>
                <w:iCs/>
                <w:color w:val="000000"/>
                <w:sz w:val="16"/>
                <w:szCs w:val="16"/>
                <w:lang w:eastAsia="es-MX"/>
              </w:rPr>
              <w:t>2</w:t>
            </w:r>
          </w:p>
        </w:tc>
        <w:tc>
          <w:tcPr>
            <w:tcW w:w="964" w:type="dxa"/>
            <w:tcBorders>
              <w:top w:val="nil"/>
              <w:left w:val="nil"/>
              <w:bottom w:val="single" w:sz="4" w:space="0" w:color="auto"/>
              <w:right w:val="nil"/>
            </w:tcBorders>
            <w:shd w:val="clear" w:color="auto" w:fill="auto"/>
            <w:vAlign w:val="center"/>
          </w:tcPr>
          <w:p w14:paraId="09E92C8D" w14:textId="77777777" w:rsidR="00B331DD" w:rsidRPr="00160163" w:rsidRDefault="00B331DD" w:rsidP="00EB530F">
            <w:pPr>
              <w:jc w:val="center"/>
              <w:rPr>
                <w:rFonts w:ascii="Times New Roman" w:eastAsia="Times New Roman" w:hAnsi="Times New Roman" w:cs="Times New Roman"/>
                <w:i/>
                <w:iCs/>
                <w:color w:val="000000"/>
                <w:sz w:val="16"/>
                <w:szCs w:val="16"/>
                <w:lang w:eastAsia="es-MX"/>
              </w:rPr>
            </w:pPr>
            <w:r w:rsidRPr="00160163">
              <w:rPr>
                <w:rFonts w:ascii="Times New Roman" w:eastAsia="Times New Roman" w:hAnsi="Times New Roman" w:cs="Times New Roman"/>
                <w:i/>
                <w:iCs/>
                <w:color w:val="000000"/>
                <w:sz w:val="16"/>
                <w:szCs w:val="16"/>
                <w:lang w:eastAsia="es-MX"/>
              </w:rPr>
              <w:t>3</w:t>
            </w:r>
          </w:p>
        </w:tc>
        <w:tc>
          <w:tcPr>
            <w:tcW w:w="964" w:type="dxa"/>
            <w:tcBorders>
              <w:top w:val="nil"/>
              <w:left w:val="nil"/>
              <w:bottom w:val="single" w:sz="4" w:space="0" w:color="auto"/>
              <w:right w:val="nil"/>
            </w:tcBorders>
            <w:shd w:val="clear" w:color="auto" w:fill="auto"/>
            <w:vAlign w:val="center"/>
          </w:tcPr>
          <w:p w14:paraId="515ED139" w14:textId="77777777" w:rsidR="00B331DD" w:rsidRPr="00160163" w:rsidRDefault="00B331DD" w:rsidP="00EB530F">
            <w:pPr>
              <w:jc w:val="center"/>
              <w:rPr>
                <w:rFonts w:ascii="Times New Roman" w:eastAsia="Times New Roman" w:hAnsi="Times New Roman" w:cs="Times New Roman"/>
                <w:i/>
                <w:iCs/>
                <w:color w:val="000000"/>
                <w:sz w:val="16"/>
                <w:szCs w:val="16"/>
                <w:lang w:eastAsia="es-MX"/>
              </w:rPr>
            </w:pPr>
            <w:r w:rsidRPr="00160163">
              <w:rPr>
                <w:rFonts w:ascii="Times New Roman" w:eastAsia="Times New Roman" w:hAnsi="Times New Roman" w:cs="Times New Roman"/>
                <w:i/>
                <w:iCs/>
                <w:color w:val="000000"/>
                <w:sz w:val="16"/>
                <w:szCs w:val="16"/>
                <w:lang w:eastAsia="es-MX"/>
              </w:rPr>
              <w:t>4</w:t>
            </w:r>
          </w:p>
        </w:tc>
        <w:tc>
          <w:tcPr>
            <w:tcW w:w="964" w:type="dxa"/>
            <w:tcBorders>
              <w:top w:val="nil"/>
              <w:left w:val="nil"/>
              <w:bottom w:val="single" w:sz="4" w:space="0" w:color="auto"/>
              <w:right w:val="nil"/>
            </w:tcBorders>
            <w:shd w:val="clear" w:color="auto" w:fill="auto"/>
            <w:vAlign w:val="center"/>
          </w:tcPr>
          <w:p w14:paraId="3D8D53CB" w14:textId="77777777" w:rsidR="00B331DD" w:rsidRPr="00160163" w:rsidRDefault="00B331DD" w:rsidP="00EB530F">
            <w:pPr>
              <w:jc w:val="center"/>
              <w:rPr>
                <w:rFonts w:ascii="Times New Roman" w:eastAsia="Times New Roman" w:hAnsi="Times New Roman" w:cs="Times New Roman"/>
                <w:i/>
                <w:iCs/>
                <w:color w:val="000000"/>
                <w:sz w:val="16"/>
                <w:szCs w:val="16"/>
                <w:lang w:eastAsia="es-MX"/>
              </w:rPr>
            </w:pPr>
            <w:r w:rsidRPr="00160163">
              <w:rPr>
                <w:rFonts w:ascii="Times New Roman" w:eastAsia="Times New Roman" w:hAnsi="Times New Roman" w:cs="Times New Roman"/>
                <w:i/>
                <w:iCs/>
                <w:color w:val="000000"/>
                <w:sz w:val="16"/>
                <w:szCs w:val="16"/>
                <w:lang w:eastAsia="es-MX"/>
              </w:rPr>
              <w:t>5</w:t>
            </w:r>
          </w:p>
        </w:tc>
      </w:tr>
      <w:tr w:rsidR="00B331DD" w:rsidRPr="006F2C52" w14:paraId="5DAFD2A1" w14:textId="77777777" w:rsidTr="00960C84">
        <w:trPr>
          <w:jc w:val="center"/>
        </w:trPr>
        <w:tc>
          <w:tcPr>
            <w:tcW w:w="1701" w:type="dxa"/>
            <w:tcBorders>
              <w:top w:val="single" w:sz="4" w:space="0" w:color="auto"/>
              <w:left w:val="nil"/>
              <w:bottom w:val="nil"/>
              <w:right w:val="nil"/>
            </w:tcBorders>
            <w:vAlign w:val="center"/>
          </w:tcPr>
          <w:p w14:paraId="1AFA997F" w14:textId="0B236371" w:rsidR="00B331DD" w:rsidRPr="001175F0" w:rsidRDefault="00B331DD" w:rsidP="00794BC9">
            <w:pPr>
              <w:spacing w:before="40" w:after="40"/>
              <w:jc w:val="center"/>
              <w:rPr>
                <w:rFonts w:ascii="Times New Roman" w:hAnsi="Times New Roman"/>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A</w:t>
            </w:r>
          </w:p>
        </w:tc>
        <w:tc>
          <w:tcPr>
            <w:tcW w:w="964" w:type="dxa"/>
            <w:tcBorders>
              <w:top w:val="single" w:sz="4" w:space="0" w:color="auto"/>
              <w:left w:val="nil"/>
              <w:bottom w:val="nil"/>
              <w:right w:val="nil"/>
            </w:tcBorders>
            <w:vAlign w:val="center"/>
          </w:tcPr>
          <w:p w14:paraId="04806493" w14:textId="7C5BD7EA" w:rsidR="00B331DD" w:rsidRPr="00794BC9" w:rsidRDefault="00EB530F"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[0.4096]</w:t>
            </w:r>
          </w:p>
        </w:tc>
        <w:tc>
          <w:tcPr>
            <w:tcW w:w="964" w:type="dxa"/>
            <w:tcBorders>
              <w:top w:val="single" w:sz="4" w:space="0" w:color="auto"/>
              <w:left w:val="nil"/>
              <w:bottom w:val="nil"/>
              <w:right w:val="nil"/>
            </w:tcBorders>
            <w:vAlign w:val="center"/>
          </w:tcPr>
          <w:p w14:paraId="0A757D29" w14:textId="256E012E" w:rsidR="00B331DD" w:rsidRPr="00794BC9" w:rsidRDefault="00EB530F"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[0.3995]</w:t>
            </w:r>
          </w:p>
        </w:tc>
        <w:tc>
          <w:tcPr>
            <w:tcW w:w="964" w:type="dxa"/>
            <w:tcBorders>
              <w:top w:val="single" w:sz="4" w:space="0" w:color="auto"/>
              <w:left w:val="nil"/>
              <w:bottom w:val="nil"/>
              <w:right w:val="nil"/>
            </w:tcBorders>
            <w:vAlign w:val="center"/>
          </w:tcPr>
          <w:p w14:paraId="71CB3F5B" w14:textId="1CB105AC" w:rsidR="00B331DD" w:rsidRPr="00794BC9" w:rsidRDefault="00EB530F"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[0.5863]</w:t>
            </w:r>
          </w:p>
        </w:tc>
        <w:tc>
          <w:tcPr>
            <w:tcW w:w="964" w:type="dxa"/>
            <w:tcBorders>
              <w:top w:val="single" w:sz="4" w:space="0" w:color="auto"/>
              <w:left w:val="nil"/>
              <w:bottom w:val="nil"/>
              <w:right w:val="nil"/>
            </w:tcBorders>
            <w:vAlign w:val="center"/>
          </w:tcPr>
          <w:p w14:paraId="4D97DAE6" w14:textId="5A8AC98C" w:rsidR="00B331DD" w:rsidRPr="00794BC9" w:rsidRDefault="00EB530F"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[0.7026]</w:t>
            </w:r>
          </w:p>
        </w:tc>
        <w:tc>
          <w:tcPr>
            <w:tcW w:w="964" w:type="dxa"/>
            <w:tcBorders>
              <w:top w:val="single" w:sz="4" w:space="0" w:color="auto"/>
              <w:left w:val="nil"/>
              <w:bottom w:val="nil"/>
              <w:right w:val="nil"/>
            </w:tcBorders>
            <w:vAlign w:val="center"/>
          </w:tcPr>
          <w:p w14:paraId="3044E271" w14:textId="639C971D" w:rsidR="00B331DD" w:rsidRPr="00794BC9" w:rsidRDefault="00EB530F"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[0.6427]</w:t>
            </w:r>
          </w:p>
        </w:tc>
      </w:tr>
      <w:tr w:rsidR="00B331DD" w:rsidRPr="006F2C52" w14:paraId="196E1D61" w14:textId="77777777" w:rsidTr="00960C84">
        <w:trPr>
          <w:jc w:val="center"/>
        </w:trPr>
        <w:tc>
          <w:tcPr>
            <w:tcW w:w="1701" w:type="dxa"/>
            <w:tcBorders>
              <w:top w:val="nil"/>
              <w:left w:val="nil"/>
              <w:bottom w:val="nil"/>
              <w:right w:val="nil"/>
            </w:tcBorders>
            <w:vAlign w:val="center"/>
          </w:tcPr>
          <w:p w14:paraId="01DC439F" w14:textId="6AE9DD6D" w:rsidR="00B331DD" w:rsidRPr="001175F0" w:rsidRDefault="00B331DD" w:rsidP="00794BC9">
            <w:pPr>
              <w:spacing w:before="40" w:after="40"/>
              <w:jc w:val="center"/>
              <w:rPr>
                <w:rFonts w:ascii="Times New Roman" w:hAnsi="Times New Roman"/>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B</w:t>
            </w:r>
          </w:p>
        </w:tc>
        <w:tc>
          <w:tcPr>
            <w:tcW w:w="964" w:type="dxa"/>
            <w:tcBorders>
              <w:top w:val="nil"/>
              <w:left w:val="nil"/>
              <w:bottom w:val="nil"/>
              <w:right w:val="nil"/>
            </w:tcBorders>
            <w:vAlign w:val="center"/>
          </w:tcPr>
          <w:p w14:paraId="715FB7C4" w14:textId="6E0A5130" w:rsidR="00B331DD" w:rsidRPr="00794BC9" w:rsidRDefault="00EA26D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[0.6524]</w:t>
            </w:r>
          </w:p>
        </w:tc>
        <w:tc>
          <w:tcPr>
            <w:tcW w:w="964" w:type="dxa"/>
            <w:tcBorders>
              <w:top w:val="nil"/>
              <w:left w:val="nil"/>
              <w:bottom w:val="nil"/>
              <w:right w:val="nil"/>
            </w:tcBorders>
            <w:vAlign w:val="center"/>
          </w:tcPr>
          <w:p w14:paraId="79ABE73C" w14:textId="303BC94B" w:rsidR="00B331DD" w:rsidRPr="00794BC9" w:rsidRDefault="00EA26D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[0.6196]</w:t>
            </w:r>
          </w:p>
        </w:tc>
        <w:tc>
          <w:tcPr>
            <w:tcW w:w="964" w:type="dxa"/>
            <w:tcBorders>
              <w:top w:val="nil"/>
              <w:left w:val="nil"/>
              <w:bottom w:val="nil"/>
              <w:right w:val="nil"/>
            </w:tcBorders>
            <w:vAlign w:val="center"/>
          </w:tcPr>
          <w:p w14:paraId="7DB501D0" w14:textId="02A4AC9E" w:rsidR="00B331DD" w:rsidRPr="00794BC9" w:rsidRDefault="00EA26D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[0.7564]</w:t>
            </w:r>
          </w:p>
        </w:tc>
        <w:tc>
          <w:tcPr>
            <w:tcW w:w="964" w:type="dxa"/>
            <w:tcBorders>
              <w:top w:val="nil"/>
              <w:left w:val="nil"/>
              <w:bottom w:val="nil"/>
              <w:right w:val="nil"/>
            </w:tcBorders>
            <w:vAlign w:val="center"/>
          </w:tcPr>
          <w:p w14:paraId="1B44C69B" w14:textId="70F25442" w:rsidR="00B331DD" w:rsidRPr="00794BC9" w:rsidRDefault="00EA26D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[0.8325]</w:t>
            </w:r>
          </w:p>
        </w:tc>
        <w:tc>
          <w:tcPr>
            <w:tcW w:w="964" w:type="dxa"/>
            <w:tcBorders>
              <w:top w:val="nil"/>
              <w:left w:val="nil"/>
              <w:bottom w:val="nil"/>
              <w:right w:val="nil"/>
            </w:tcBorders>
            <w:vAlign w:val="center"/>
          </w:tcPr>
          <w:p w14:paraId="3933F5EB" w14:textId="77025A16" w:rsidR="00B331DD" w:rsidRPr="00794BC9" w:rsidRDefault="00EA26D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[0.7083]</w:t>
            </w:r>
          </w:p>
        </w:tc>
      </w:tr>
      <w:tr w:rsidR="00B331DD" w:rsidRPr="006F2C52" w14:paraId="249711DC" w14:textId="77777777" w:rsidTr="00960C84">
        <w:trPr>
          <w:jc w:val="center"/>
        </w:trPr>
        <w:tc>
          <w:tcPr>
            <w:tcW w:w="1701" w:type="dxa"/>
            <w:tcBorders>
              <w:top w:val="nil"/>
              <w:left w:val="nil"/>
              <w:bottom w:val="nil"/>
              <w:right w:val="nil"/>
            </w:tcBorders>
            <w:vAlign w:val="center"/>
          </w:tcPr>
          <w:p w14:paraId="63F858FB" w14:textId="5C6CAA1E" w:rsidR="00B331DD" w:rsidRPr="001175F0" w:rsidRDefault="00B331DD" w:rsidP="00794BC9">
            <w:pPr>
              <w:spacing w:before="40" w:after="40"/>
              <w:jc w:val="center"/>
              <w:rPr>
                <w:rFonts w:ascii="Times New Roman" w:hAnsi="Times New Roman"/>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C</w:t>
            </w:r>
          </w:p>
        </w:tc>
        <w:tc>
          <w:tcPr>
            <w:tcW w:w="964" w:type="dxa"/>
            <w:tcBorders>
              <w:top w:val="nil"/>
              <w:left w:val="nil"/>
              <w:bottom w:val="nil"/>
              <w:right w:val="nil"/>
            </w:tcBorders>
            <w:vAlign w:val="center"/>
          </w:tcPr>
          <w:p w14:paraId="79E240C3" w14:textId="429B2FFD" w:rsidR="00B331DD" w:rsidRPr="00794BC9" w:rsidRDefault="00966327"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[0.5435]</w:t>
            </w:r>
          </w:p>
        </w:tc>
        <w:tc>
          <w:tcPr>
            <w:tcW w:w="964" w:type="dxa"/>
            <w:tcBorders>
              <w:top w:val="nil"/>
              <w:left w:val="nil"/>
              <w:bottom w:val="nil"/>
              <w:right w:val="nil"/>
            </w:tcBorders>
            <w:vAlign w:val="center"/>
          </w:tcPr>
          <w:p w14:paraId="3780869C" w14:textId="6CF7825A" w:rsidR="00B331DD" w:rsidRPr="00794BC9" w:rsidRDefault="00966327"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[0.3776]</w:t>
            </w:r>
          </w:p>
        </w:tc>
        <w:tc>
          <w:tcPr>
            <w:tcW w:w="964" w:type="dxa"/>
            <w:tcBorders>
              <w:top w:val="nil"/>
              <w:left w:val="nil"/>
              <w:bottom w:val="nil"/>
              <w:right w:val="nil"/>
            </w:tcBorders>
            <w:vAlign w:val="center"/>
          </w:tcPr>
          <w:p w14:paraId="46C2D206" w14:textId="23F268F2" w:rsidR="00B331DD" w:rsidRPr="00794BC9" w:rsidRDefault="00966327"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[0.4249]</w:t>
            </w:r>
          </w:p>
        </w:tc>
        <w:tc>
          <w:tcPr>
            <w:tcW w:w="964" w:type="dxa"/>
            <w:tcBorders>
              <w:top w:val="nil"/>
              <w:left w:val="nil"/>
              <w:bottom w:val="nil"/>
              <w:right w:val="nil"/>
            </w:tcBorders>
            <w:vAlign w:val="center"/>
          </w:tcPr>
          <w:p w14:paraId="0AF1FA7A" w14:textId="3FDEED8C" w:rsidR="00B331DD" w:rsidRPr="00794BC9" w:rsidRDefault="00966327"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[0.2944]</w:t>
            </w:r>
          </w:p>
        </w:tc>
        <w:tc>
          <w:tcPr>
            <w:tcW w:w="964" w:type="dxa"/>
            <w:tcBorders>
              <w:top w:val="nil"/>
              <w:left w:val="nil"/>
              <w:bottom w:val="nil"/>
              <w:right w:val="nil"/>
            </w:tcBorders>
            <w:vAlign w:val="center"/>
          </w:tcPr>
          <w:p w14:paraId="51076ABF" w14:textId="7FB2BC12" w:rsidR="00B331DD" w:rsidRPr="00794BC9" w:rsidRDefault="00966327"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[0.3817]</w:t>
            </w:r>
          </w:p>
        </w:tc>
      </w:tr>
      <w:tr w:rsidR="00B331DD" w:rsidRPr="006F2C52" w14:paraId="25E145ED" w14:textId="77777777" w:rsidTr="00960C84">
        <w:trPr>
          <w:jc w:val="center"/>
        </w:trPr>
        <w:tc>
          <w:tcPr>
            <w:tcW w:w="1701" w:type="dxa"/>
            <w:tcBorders>
              <w:top w:val="nil"/>
              <w:left w:val="nil"/>
              <w:bottom w:val="nil"/>
              <w:right w:val="nil"/>
            </w:tcBorders>
            <w:vAlign w:val="center"/>
          </w:tcPr>
          <w:p w14:paraId="33587190" w14:textId="712741AD" w:rsidR="00B331DD" w:rsidRPr="001175F0" w:rsidRDefault="00B331DD" w:rsidP="00794BC9">
            <w:pPr>
              <w:spacing w:before="40" w:after="40"/>
              <w:jc w:val="center"/>
              <w:rPr>
                <w:rFonts w:ascii="Times New Roman" w:hAnsi="Times New Roman"/>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D</w:t>
            </w:r>
          </w:p>
        </w:tc>
        <w:tc>
          <w:tcPr>
            <w:tcW w:w="964" w:type="dxa"/>
            <w:tcBorders>
              <w:top w:val="nil"/>
              <w:left w:val="nil"/>
              <w:bottom w:val="nil"/>
              <w:right w:val="nil"/>
            </w:tcBorders>
            <w:vAlign w:val="center"/>
          </w:tcPr>
          <w:p w14:paraId="7DE5F76A" w14:textId="79FC18B6" w:rsidR="00B331DD" w:rsidRPr="00794BC9" w:rsidRDefault="008F0321"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[0.7160]</w:t>
            </w:r>
          </w:p>
        </w:tc>
        <w:tc>
          <w:tcPr>
            <w:tcW w:w="964" w:type="dxa"/>
            <w:tcBorders>
              <w:top w:val="nil"/>
              <w:left w:val="nil"/>
              <w:bottom w:val="nil"/>
              <w:right w:val="nil"/>
            </w:tcBorders>
            <w:vAlign w:val="center"/>
          </w:tcPr>
          <w:p w14:paraId="26FF8D98" w14:textId="062DA70C" w:rsidR="00B331DD" w:rsidRPr="00794BC9" w:rsidRDefault="008F0321"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[0.7250]</w:t>
            </w:r>
          </w:p>
        </w:tc>
        <w:tc>
          <w:tcPr>
            <w:tcW w:w="964" w:type="dxa"/>
            <w:tcBorders>
              <w:top w:val="nil"/>
              <w:left w:val="nil"/>
              <w:bottom w:val="nil"/>
              <w:right w:val="nil"/>
            </w:tcBorders>
            <w:vAlign w:val="center"/>
          </w:tcPr>
          <w:p w14:paraId="3B7D5BF4" w14:textId="4B81715D" w:rsidR="00B331DD" w:rsidRPr="00794BC9" w:rsidRDefault="008F0321"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[0.1122]</w:t>
            </w:r>
          </w:p>
        </w:tc>
        <w:tc>
          <w:tcPr>
            <w:tcW w:w="964" w:type="dxa"/>
            <w:tcBorders>
              <w:top w:val="nil"/>
              <w:left w:val="nil"/>
              <w:bottom w:val="nil"/>
              <w:right w:val="nil"/>
            </w:tcBorders>
            <w:vAlign w:val="center"/>
          </w:tcPr>
          <w:p w14:paraId="76310EF5" w14:textId="65C99B09" w:rsidR="00B331DD" w:rsidRPr="00794BC9" w:rsidRDefault="008F0321"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[0.1217]</w:t>
            </w:r>
          </w:p>
        </w:tc>
        <w:tc>
          <w:tcPr>
            <w:tcW w:w="964" w:type="dxa"/>
            <w:tcBorders>
              <w:top w:val="nil"/>
              <w:left w:val="nil"/>
              <w:bottom w:val="nil"/>
              <w:right w:val="nil"/>
            </w:tcBorders>
            <w:vAlign w:val="center"/>
          </w:tcPr>
          <w:p w14:paraId="54A3AAEE" w14:textId="305B4CD2" w:rsidR="00B331DD" w:rsidRPr="00794BC9" w:rsidRDefault="008F0321"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[0.0341]</w:t>
            </w:r>
          </w:p>
        </w:tc>
      </w:tr>
      <w:tr w:rsidR="00B331DD" w:rsidRPr="006F2C52" w14:paraId="55BEF42C" w14:textId="77777777" w:rsidTr="00960C84">
        <w:trPr>
          <w:jc w:val="center"/>
        </w:trPr>
        <w:tc>
          <w:tcPr>
            <w:tcW w:w="1701" w:type="dxa"/>
            <w:tcBorders>
              <w:top w:val="nil"/>
              <w:left w:val="nil"/>
              <w:bottom w:val="nil"/>
              <w:right w:val="nil"/>
            </w:tcBorders>
            <w:vAlign w:val="center"/>
          </w:tcPr>
          <w:p w14:paraId="31AE86E1" w14:textId="26E1D776" w:rsidR="00B331DD" w:rsidRPr="001175F0" w:rsidRDefault="00B331DD" w:rsidP="00794BC9">
            <w:pPr>
              <w:spacing w:before="40" w:after="40"/>
              <w:jc w:val="center"/>
              <w:rPr>
                <w:rFonts w:ascii="Times New Roman" w:hAnsi="Times New Roman"/>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E</w:t>
            </w:r>
          </w:p>
        </w:tc>
        <w:tc>
          <w:tcPr>
            <w:tcW w:w="964" w:type="dxa"/>
            <w:tcBorders>
              <w:top w:val="nil"/>
              <w:left w:val="nil"/>
              <w:bottom w:val="nil"/>
              <w:right w:val="nil"/>
            </w:tcBorders>
            <w:vAlign w:val="center"/>
          </w:tcPr>
          <w:p w14:paraId="378379B8" w14:textId="3FFD50E4" w:rsidR="00B331DD" w:rsidRPr="00794BC9" w:rsidRDefault="00AD1B0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[0.6363]</w:t>
            </w:r>
          </w:p>
        </w:tc>
        <w:tc>
          <w:tcPr>
            <w:tcW w:w="964" w:type="dxa"/>
            <w:tcBorders>
              <w:top w:val="nil"/>
              <w:left w:val="nil"/>
              <w:bottom w:val="nil"/>
              <w:right w:val="nil"/>
            </w:tcBorders>
            <w:vAlign w:val="center"/>
          </w:tcPr>
          <w:p w14:paraId="628AB4FE" w14:textId="6550914E" w:rsidR="00B331DD" w:rsidRPr="00794BC9" w:rsidRDefault="00AD1B0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[0.8786]</w:t>
            </w:r>
          </w:p>
        </w:tc>
        <w:tc>
          <w:tcPr>
            <w:tcW w:w="964" w:type="dxa"/>
            <w:tcBorders>
              <w:top w:val="nil"/>
              <w:left w:val="nil"/>
              <w:bottom w:val="nil"/>
              <w:right w:val="nil"/>
            </w:tcBorders>
            <w:vAlign w:val="center"/>
          </w:tcPr>
          <w:p w14:paraId="1DFD75DD" w14:textId="0DC330A3" w:rsidR="00B331DD" w:rsidRPr="00794BC9" w:rsidRDefault="00AD1B0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[0.9672]</w:t>
            </w:r>
          </w:p>
        </w:tc>
        <w:tc>
          <w:tcPr>
            <w:tcW w:w="964" w:type="dxa"/>
            <w:tcBorders>
              <w:top w:val="nil"/>
              <w:left w:val="nil"/>
              <w:bottom w:val="nil"/>
              <w:right w:val="nil"/>
            </w:tcBorders>
            <w:vAlign w:val="center"/>
          </w:tcPr>
          <w:p w14:paraId="40813A21" w14:textId="2377B368" w:rsidR="00B331DD" w:rsidRPr="00794BC9" w:rsidRDefault="00AD1B0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[0.7612]</w:t>
            </w:r>
          </w:p>
        </w:tc>
        <w:tc>
          <w:tcPr>
            <w:tcW w:w="964" w:type="dxa"/>
            <w:tcBorders>
              <w:top w:val="nil"/>
              <w:left w:val="nil"/>
              <w:bottom w:val="nil"/>
              <w:right w:val="nil"/>
            </w:tcBorders>
            <w:vAlign w:val="center"/>
          </w:tcPr>
          <w:p w14:paraId="687B1AC5" w14:textId="5F2BE57F" w:rsidR="00B331DD" w:rsidRPr="00794BC9" w:rsidRDefault="00AD1B0E"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[0.8411]</w:t>
            </w:r>
          </w:p>
        </w:tc>
      </w:tr>
      <w:tr w:rsidR="00B331DD" w:rsidRPr="006F2C52" w14:paraId="051EC44D" w14:textId="77777777" w:rsidTr="00960C84">
        <w:trPr>
          <w:jc w:val="center"/>
        </w:trPr>
        <w:tc>
          <w:tcPr>
            <w:tcW w:w="1701" w:type="dxa"/>
            <w:tcBorders>
              <w:top w:val="nil"/>
              <w:left w:val="nil"/>
              <w:bottom w:val="nil"/>
              <w:right w:val="nil"/>
            </w:tcBorders>
            <w:vAlign w:val="center"/>
          </w:tcPr>
          <w:p w14:paraId="2D78ACCD" w14:textId="42F78DEF" w:rsidR="00B331DD" w:rsidRPr="001175F0" w:rsidRDefault="00B331DD" w:rsidP="00794BC9">
            <w:pPr>
              <w:spacing w:before="40" w:after="40"/>
              <w:jc w:val="center"/>
              <w:rPr>
                <w:rFonts w:ascii="Times New Roman" w:hAnsi="Times New Roman"/>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F</w:t>
            </w:r>
          </w:p>
        </w:tc>
        <w:tc>
          <w:tcPr>
            <w:tcW w:w="964" w:type="dxa"/>
            <w:tcBorders>
              <w:top w:val="nil"/>
              <w:left w:val="nil"/>
              <w:bottom w:val="nil"/>
              <w:right w:val="nil"/>
            </w:tcBorders>
            <w:vAlign w:val="center"/>
          </w:tcPr>
          <w:p w14:paraId="0BE477D2" w14:textId="77103FB0" w:rsidR="00B331DD" w:rsidRPr="00794BC9" w:rsidRDefault="00CE45F8"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[0.8220]</w:t>
            </w:r>
          </w:p>
        </w:tc>
        <w:tc>
          <w:tcPr>
            <w:tcW w:w="964" w:type="dxa"/>
            <w:tcBorders>
              <w:top w:val="nil"/>
              <w:left w:val="nil"/>
              <w:bottom w:val="nil"/>
              <w:right w:val="nil"/>
            </w:tcBorders>
            <w:vAlign w:val="center"/>
          </w:tcPr>
          <w:p w14:paraId="563E4312" w14:textId="199FC5AA" w:rsidR="00B331DD" w:rsidRPr="00794BC9" w:rsidRDefault="00CE45F8"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[0.8074]</w:t>
            </w:r>
          </w:p>
        </w:tc>
        <w:tc>
          <w:tcPr>
            <w:tcW w:w="964" w:type="dxa"/>
            <w:tcBorders>
              <w:top w:val="nil"/>
              <w:left w:val="nil"/>
              <w:bottom w:val="nil"/>
              <w:right w:val="nil"/>
            </w:tcBorders>
            <w:vAlign w:val="center"/>
          </w:tcPr>
          <w:p w14:paraId="6944B905" w14:textId="01FBBAB2" w:rsidR="00B331DD" w:rsidRPr="00794BC9" w:rsidRDefault="00CE45F8"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[0.8006]</w:t>
            </w:r>
          </w:p>
        </w:tc>
        <w:tc>
          <w:tcPr>
            <w:tcW w:w="964" w:type="dxa"/>
            <w:tcBorders>
              <w:top w:val="nil"/>
              <w:left w:val="nil"/>
              <w:bottom w:val="nil"/>
              <w:right w:val="nil"/>
            </w:tcBorders>
            <w:vAlign w:val="center"/>
          </w:tcPr>
          <w:p w14:paraId="637E3957" w14:textId="552A5625" w:rsidR="00B331DD" w:rsidRPr="00794BC9" w:rsidRDefault="00CE45F8"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[0.3364]</w:t>
            </w:r>
          </w:p>
        </w:tc>
        <w:tc>
          <w:tcPr>
            <w:tcW w:w="964" w:type="dxa"/>
            <w:tcBorders>
              <w:top w:val="nil"/>
              <w:left w:val="nil"/>
              <w:bottom w:val="nil"/>
              <w:right w:val="nil"/>
            </w:tcBorders>
            <w:vAlign w:val="center"/>
          </w:tcPr>
          <w:p w14:paraId="245251F4" w14:textId="6F939DB8" w:rsidR="00B331DD" w:rsidRPr="00794BC9" w:rsidRDefault="00CE45F8"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[0.4136]</w:t>
            </w:r>
          </w:p>
        </w:tc>
      </w:tr>
      <w:tr w:rsidR="00B331DD" w:rsidRPr="006F2C52" w14:paraId="6316F1C1" w14:textId="77777777" w:rsidTr="00960C84">
        <w:trPr>
          <w:jc w:val="center"/>
        </w:trPr>
        <w:tc>
          <w:tcPr>
            <w:tcW w:w="1701" w:type="dxa"/>
            <w:tcBorders>
              <w:top w:val="nil"/>
              <w:left w:val="nil"/>
              <w:bottom w:val="nil"/>
              <w:right w:val="nil"/>
            </w:tcBorders>
            <w:vAlign w:val="center"/>
          </w:tcPr>
          <w:p w14:paraId="39EC7D37" w14:textId="28CC1515" w:rsidR="00B331DD" w:rsidRPr="00AD3095" w:rsidRDefault="00B331DD" w:rsidP="00794BC9">
            <w:pPr>
              <w:spacing w:before="40" w:after="40"/>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G</w:t>
            </w:r>
          </w:p>
        </w:tc>
        <w:tc>
          <w:tcPr>
            <w:tcW w:w="964" w:type="dxa"/>
            <w:tcBorders>
              <w:top w:val="nil"/>
              <w:left w:val="nil"/>
              <w:bottom w:val="nil"/>
              <w:right w:val="nil"/>
            </w:tcBorders>
            <w:vAlign w:val="center"/>
          </w:tcPr>
          <w:p w14:paraId="408C8C22" w14:textId="092CD494" w:rsidR="00B331DD" w:rsidRPr="00794BC9" w:rsidRDefault="006E1F14"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[0.5380]</w:t>
            </w:r>
          </w:p>
        </w:tc>
        <w:tc>
          <w:tcPr>
            <w:tcW w:w="964" w:type="dxa"/>
            <w:tcBorders>
              <w:top w:val="nil"/>
              <w:left w:val="nil"/>
              <w:bottom w:val="nil"/>
              <w:right w:val="nil"/>
            </w:tcBorders>
            <w:vAlign w:val="center"/>
          </w:tcPr>
          <w:p w14:paraId="6AE8D66E" w14:textId="57FCB199" w:rsidR="00B331DD" w:rsidRPr="00794BC9" w:rsidRDefault="006E1F14"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[0.3224]</w:t>
            </w:r>
          </w:p>
        </w:tc>
        <w:tc>
          <w:tcPr>
            <w:tcW w:w="964" w:type="dxa"/>
            <w:tcBorders>
              <w:top w:val="nil"/>
              <w:left w:val="nil"/>
              <w:bottom w:val="nil"/>
              <w:right w:val="nil"/>
            </w:tcBorders>
            <w:vAlign w:val="center"/>
          </w:tcPr>
          <w:p w14:paraId="01773140" w14:textId="4994D510" w:rsidR="00B331DD" w:rsidRPr="00794BC9" w:rsidRDefault="006E1F14"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[0.1725]</w:t>
            </w:r>
          </w:p>
        </w:tc>
        <w:tc>
          <w:tcPr>
            <w:tcW w:w="964" w:type="dxa"/>
            <w:tcBorders>
              <w:top w:val="nil"/>
              <w:left w:val="nil"/>
              <w:bottom w:val="nil"/>
              <w:right w:val="nil"/>
            </w:tcBorders>
            <w:vAlign w:val="center"/>
          </w:tcPr>
          <w:p w14:paraId="54A91E52" w14:textId="1C5F3B1A" w:rsidR="00B331DD" w:rsidRPr="00794BC9" w:rsidRDefault="006E1F14"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[0.2749]</w:t>
            </w:r>
          </w:p>
        </w:tc>
        <w:tc>
          <w:tcPr>
            <w:tcW w:w="964" w:type="dxa"/>
            <w:tcBorders>
              <w:top w:val="nil"/>
              <w:left w:val="nil"/>
              <w:bottom w:val="nil"/>
              <w:right w:val="nil"/>
            </w:tcBorders>
            <w:vAlign w:val="center"/>
          </w:tcPr>
          <w:p w14:paraId="76FD00DC" w14:textId="43032B5A" w:rsidR="00B331DD" w:rsidRPr="00794BC9" w:rsidRDefault="006E1F14" w:rsidP="00AD1B0E">
            <w:pPr>
              <w:jc w:val="center"/>
              <w:rPr>
                <w:rFonts w:ascii="Times New Roman" w:eastAsia="Times New Roman" w:hAnsi="Times New Roman" w:cs="Times New Roman"/>
                <w:i/>
                <w:color w:val="000000"/>
                <w:sz w:val="16"/>
                <w:szCs w:val="16"/>
                <w:lang w:eastAsia="es-MX"/>
              </w:rPr>
            </w:pPr>
            <w:r w:rsidRPr="00794BC9">
              <w:rPr>
                <w:rFonts w:ascii="Times New Roman" w:eastAsia="Times New Roman" w:hAnsi="Times New Roman" w:cs="Times New Roman"/>
                <w:i/>
                <w:color w:val="000000"/>
                <w:sz w:val="16"/>
                <w:szCs w:val="16"/>
                <w:lang w:eastAsia="es-MX"/>
              </w:rPr>
              <w:t>[0.0687]</w:t>
            </w:r>
          </w:p>
        </w:tc>
      </w:tr>
      <w:tr w:rsidR="00B331DD" w:rsidRPr="006F2C52" w14:paraId="69A296F9" w14:textId="77777777" w:rsidTr="00960C84">
        <w:trPr>
          <w:jc w:val="center"/>
        </w:trPr>
        <w:tc>
          <w:tcPr>
            <w:tcW w:w="1701" w:type="dxa"/>
            <w:tcBorders>
              <w:top w:val="nil"/>
              <w:left w:val="nil"/>
              <w:bottom w:val="single" w:sz="4" w:space="0" w:color="auto"/>
              <w:right w:val="nil"/>
            </w:tcBorders>
            <w:vAlign w:val="center"/>
          </w:tcPr>
          <w:p w14:paraId="2E241604" w14:textId="2A83BB70" w:rsidR="00B331DD" w:rsidRPr="00AD3095" w:rsidRDefault="00B331DD" w:rsidP="00794BC9">
            <w:pPr>
              <w:spacing w:before="40" w:after="40"/>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H</w:t>
            </w:r>
          </w:p>
        </w:tc>
        <w:tc>
          <w:tcPr>
            <w:tcW w:w="964" w:type="dxa"/>
            <w:tcBorders>
              <w:top w:val="nil"/>
              <w:left w:val="nil"/>
              <w:bottom w:val="single" w:sz="4" w:space="0" w:color="auto"/>
              <w:right w:val="nil"/>
            </w:tcBorders>
            <w:vAlign w:val="center"/>
          </w:tcPr>
          <w:p w14:paraId="396D7411" w14:textId="228A7083" w:rsidR="00B331DD" w:rsidRPr="00160163" w:rsidRDefault="00160163" w:rsidP="00AD1B0E">
            <w:pPr>
              <w:jc w:val="center"/>
              <w:rPr>
                <w:rFonts w:ascii="Times New Roman" w:eastAsia="Times New Roman" w:hAnsi="Times New Roman" w:cs="Times New Roman"/>
                <w:i/>
                <w:color w:val="000000"/>
                <w:sz w:val="16"/>
                <w:szCs w:val="16"/>
                <w:lang w:eastAsia="es-MX"/>
              </w:rPr>
            </w:pPr>
            <w:r w:rsidRPr="00160163">
              <w:rPr>
                <w:rFonts w:ascii="Times New Roman" w:eastAsia="Times New Roman" w:hAnsi="Times New Roman" w:cs="Times New Roman"/>
                <w:i/>
                <w:color w:val="000000"/>
                <w:sz w:val="16"/>
                <w:szCs w:val="16"/>
                <w:lang w:eastAsia="es-MX"/>
              </w:rPr>
              <w:t>[0.9320]</w:t>
            </w:r>
          </w:p>
        </w:tc>
        <w:tc>
          <w:tcPr>
            <w:tcW w:w="964" w:type="dxa"/>
            <w:tcBorders>
              <w:top w:val="nil"/>
              <w:left w:val="nil"/>
              <w:bottom w:val="single" w:sz="4" w:space="0" w:color="auto"/>
              <w:right w:val="nil"/>
            </w:tcBorders>
            <w:vAlign w:val="center"/>
          </w:tcPr>
          <w:p w14:paraId="370A7722" w14:textId="2CCE9B91" w:rsidR="00B331DD" w:rsidRPr="00160163" w:rsidRDefault="00160163" w:rsidP="00AD1B0E">
            <w:pPr>
              <w:jc w:val="center"/>
              <w:rPr>
                <w:rFonts w:ascii="Times New Roman" w:eastAsia="Times New Roman" w:hAnsi="Times New Roman" w:cs="Times New Roman"/>
                <w:i/>
                <w:color w:val="000000"/>
                <w:sz w:val="16"/>
                <w:szCs w:val="16"/>
                <w:lang w:eastAsia="es-MX"/>
              </w:rPr>
            </w:pPr>
            <w:r w:rsidRPr="00160163">
              <w:rPr>
                <w:rFonts w:ascii="Times New Roman" w:eastAsia="Times New Roman" w:hAnsi="Times New Roman" w:cs="Times New Roman"/>
                <w:i/>
                <w:color w:val="000000"/>
                <w:sz w:val="16"/>
                <w:szCs w:val="16"/>
                <w:lang w:eastAsia="es-MX"/>
              </w:rPr>
              <w:t>[0.8197]</w:t>
            </w:r>
          </w:p>
        </w:tc>
        <w:tc>
          <w:tcPr>
            <w:tcW w:w="964" w:type="dxa"/>
            <w:tcBorders>
              <w:top w:val="nil"/>
              <w:left w:val="nil"/>
              <w:bottom w:val="single" w:sz="4" w:space="0" w:color="auto"/>
              <w:right w:val="nil"/>
            </w:tcBorders>
            <w:vAlign w:val="center"/>
          </w:tcPr>
          <w:p w14:paraId="27892DB8" w14:textId="6DEB6AA0" w:rsidR="00B331DD" w:rsidRPr="00160163" w:rsidRDefault="00160163" w:rsidP="00AD1B0E">
            <w:pPr>
              <w:jc w:val="center"/>
              <w:rPr>
                <w:rFonts w:ascii="Times New Roman" w:eastAsia="Times New Roman" w:hAnsi="Times New Roman" w:cs="Times New Roman"/>
                <w:i/>
                <w:color w:val="000000"/>
                <w:sz w:val="16"/>
                <w:szCs w:val="16"/>
                <w:lang w:eastAsia="es-MX"/>
              </w:rPr>
            </w:pPr>
            <w:r w:rsidRPr="00160163">
              <w:rPr>
                <w:rFonts w:ascii="Times New Roman" w:eastAsia="Times New Roman" w:hAnsi="Times New Roman" w:cs="Times New Roman"/>
                <w:i/>
                <w:color w:val="000000"/>
                <w:sz w:val="16"/>
                <w:szCs w:val="16"/>
                <w:lang w:eastAsia="es-MX"/>
              </w:rPr>
              <w:t>[0.8486]</w:t>
            </w:r>
          </w:p>
        </w:tc>
        <w:tc>
          <w:tcPr>
            <w:tcW w:w="964" w:type="dxa"/>
            <w:tcBorders>
              <w:top w:val="nil"/>
              <w:left w:val="nil"/>
              <w:bottom w:val="single" w:sz="4" w:space="0" w:color="auto"/>
              <w:right w:val="nil"/>
            </w:tcBorders>
            <w:vAlign w:val="center"/>
          </w:tcPr>
          <w:p w14:paraId="54ABA191" w14:textId="701B8C67" w:rsidR="00B331DD" w:rsidRPr="00160163" w:rsidRDefault="00160163" w:rsidP="00AD1B0E">
            <w:pPr>
              <w:jc w:val="center"/>
              <w:rPr>
                <w:rFonts w:ascii="Times New Roman" w:eastAsia="Times New Roman" w:hAnsi="Times New Roman" w:cs="Times New Roman"/>
                <w:i/>
                <w:color w:val="000000"/>
                <w:sz w:val="16"/>
                <w:szCs w:val="16"/>
                <w:lang w:eastAsia="es-MX"/>
              </w:rPr>
            </w:pPr>
            <w:r w:rsidRPr="00160163">
              <w:rPr>
                <w:rFonts w:ascii="Times New Roman" w:eastAsia="Times New Roman" w:hAnsi="Times New Roman" w:cs="Times New Roman"/>
                <w:i/>
                <w:color w:val="000000"/>
                <w:sz w:val="16"/>
                <w:szCs w:val="16"/>
                <w:lang w:eastAsia="es-MX"/>
              </w:rPr>
              <w:t>[0.7295]</w:t>
            </w:r>
          </w:p>
        </w:tc>
        <w:tc>
          <w:tcPr>
            <w:tcW w:w="964" w:type="dxa"/>
            <w:tcBorders>
              <w:top w:val="nil"/>
              <w:left w:val="nil"/>
              <w:bottom w:val="single" w:sz="4" w:space="0" w:color="auto"/>
              <w:right w:val="nil"/>
            </w:tcBorders>
            <w:vAlign w:val="center"/>
          </w:tcPr>
          <w:p w14:paraId="57621A94" w14:textId="6003480F" w:rsidR="00B331DD" w:rsidRPr="00160163" w:rsidRDefault="00160163" w:rsidP="00AD1B0E">
            <w:pPr>
              <w:jc w:val="center"/>
              <w:rPr>
                <w:rFonts w:ascii="Times New Roman" w:eastAsia="Times New Roman" w:hAnsi="Times New Roman" w:cs="Times New Roman"/>
                <w:i/>
                <w:color w:val="000000"/>
                <w:sz w:val="16"/>
                <w:szCs w:val="16"/>
                <w:lang w:eastAsia="es-MX"/>
              </w:rPr>
            </w:pPr>
            <w:r w:rsidRPr="00160163">
              <w:rPr>
                <w:rFonts w:ascii="Times New Roman" w:eastAsia="Times New Roman" w:hAnsi="Times New Roman" w:cs="Times New Roman"/>
                <w:i/>
                <w:color w:val="000000"/>
                <w:sz w:val="16"/>
                <w:szCs w:val="16"/>
                <w:lang w:eastAsia="es-MX"/>
              </w:rPr>
              <w:t>[0.2774]</w:t>
            </w:r>
          </w:p>
        </w:tc>
      </w:tr>
      <w:tr w:rsidR="00B331DD" w:rsidRPr="007B5239" w14:paraId="06F34089" w14:textId="77777777" w:rsidTr="00960C84">
        <w:trPr>
          <w:jc w:val="center"/>
        </w:trPr>
        <w:tc>
          <w:tcPr>
            <w:tcW w:w="6521" w:type="dxa"/>
            <w:gridSpan w:val="6"/>
            <w:tcBorders>
              <w:top w:val="single" w:sz="4" w:space="0" w:color="auto"/>
              <w:left w:val="nil"/>
              <w:bottom w:val="nil"/>
              <w:right w:val="nil"/>
            </w:tcBorders>
            <w:vAlign w:val="center"/>
          </w:tcPr>
          <w:p w14:paraId="14792422" w14:textId="77089074" w:rsidR="00B331DD" w:rsidRDefault="00B331DD" w:rsidP="00B331DD">
            <w:pPr>
              <w:rPr>
                <w:rFonts w:ascii="Times New Roman" w:eastAsia="Times New Roman" w:hAnsi="Times New Roman" w:cs="Times New Roman"/>
                <w:color w:val="000000"/>
                <w:sz w:val="20"/>
                <w:szCs w:val="20"/>
              </w:rPr>
            </w:pPr>
            <w:r w:rsidRPr="00960C84">
              <w:rPr>
                <w:rFonts w:ascii="Times New Roman" w:eastAsia="Times New Roman" w:hAnsi="Times New Roman" w:cs="Times New Roman"/>
                <w:color w:val="000000"/>
                <w:sz w:val="20"/>
                <w:szCs w:val="20"/>
              </w:rPr>
              <w:t>Valor-p estimados entre corchetes</w:t>
            </w:r>
            <w:r w:rsidR="00960C84">
              <w:rPr>
                <w:rFonts w:ascii="Times New Roman" w:eastAsia="Times New Roman" w:hAnsi="Times New Roman" w:cs="Times New Roman"/>
                <w:color w:val="000000"/>
                <w:sz w:val="20"/>
                <w:szCs w:val="20"/>
              </w:rPr>
              <w:t xml:space="preserve">; </w:t>
            </w:r>
            <w:r w:rsidR="00960C84" w:rsidRPr="00960C84">
              <w:rPr>
                <w:rFonts w:ascii="Times New Roman" w:hAnsi="Times New Roman"/>
                <w:sz w:val="20"/>
                <w:szCs w:val="20"/>
              </w:rPr>
              <w:t>Ho: No hay presencia de autocorrelación</w:t>
            </w:r>
          </w:p>
          <w:p w14:paraId="05396C0F" w14:textId="75148710" w:rsidR="00960C84" w:rsidRPr="00960C84" w:rsidRDefault="00960C84" w:rsidP="00B331DD">
            <w:pPr>
              <w:rPr>
                <w:rFonts w:ascii="Times New Roman" w:hAnsi="Times New Roman" w:cs="Times New Roman"/>
                <w:sz w:val="20"/>
                <w:szCs w:val="20"/>
              </w:rPr>
            </w:pPr>
            <w:r w:rsidRPr="00960C84">
              <w:rPr>
                <w:rFonts w:ascii="Times New Roman" w:hAnsi="Times New Roman" w:cs="Times New Roman"/>
                <w:sz w:val="20"/>
                <w:szCs w:val="20"/>
              </w:rPr>
              <w:t xml:space="preserve">Fuente: Elaboración de los autores </w:t>
            </w:r>
          </w:p>
        </w:tc>
      </w:tr>
    </w:tbl>
    <w:p w14:paraId="7B07D7E9" w14:textId="76F2FDD4" w:rsidR="00B331DD" w:rsidRDefault="00B331DD" w:rsidP="007967F7">
      <w:pPr>
        <w:spacing w:after="0" w:line="360" w:lineRule="auto"/>
        <w:jc w:val="both"/>
        <w:rPr>
          <w:rFonts w:ascii="Times New Roman" w:hAnsi="Times New Roman" w:cs="Times New Roman"/>
          <w:sz w:val="24"/>
          <w:szCs w:val="24"/>
        </w:rPr>
      </w:pPr>
    </w:p>
    <w:tbl>
      <w:tblPr>
        <w:tblStyle w:val="Tablaconcuadrcula"/>
        <w:tblW w:w="8567" w:type="dxa"/>
        <w:jc w:val="center"/>
        <w:tblLook w:val="04A0" w:firstRow="1" w:lastRow="0" w:firstColumn="1" w:lastColumn="0" w:noHBand="0" w:noVBand="1"/>
      </w:tblPr>
      <w:tblGrid>
        <w:gridCol w:w="1311"/>
        <w:gridCol w:w="907"/>
        <w:gridCol w:w="907"/>
        <w:gridCol w:w="907"/>
        <w:gridCol w:w="907"/>
        <w:gridCol w:w="907"/>
        <w:gridCol w:w="907"/>
        <w:gridCol w:w="907"/>
        <w:gridCol w:w="907"/>
      </w:tblGrid>
      <w:tr w:rsidR="00B331DD" w:rsidRPr="007062FA" w14:paraId="27C4E283" w14:textId="77777777" w:rsidTr="00960C84">
        <w:trPr>
          <w:jc w:val="center"/>
        </w:trPr>
        <w:tc>
          <w:tcPr>
            <w:tcW w:w="8567" w:type="dxa"/>
            <w:gridSpan w:val="9"/>
            <w:tcBorders>
              <w:top w:val="nil"/>
              <w:left w:val="nil"/>
              <w:bottom w:val="single" w:sz="4" w:space="0" w:color="auto"/>
              <w:right w:val="nil"/>
            </w:tcBorders>
            <w:vAlign w:val="center"/>
          </w:tcPr>
          <w:p w14:paraId="00A6D30D" w14:textId="4DFAF543" w:rsidR="00960C84" w:rsidRDefault="00960C84" w:rsidP="00B331DD">
            <w:pPr>
              <w:rPr>
                <w:rFonts w:ascii="Times New Roman" w:eastAsia="Times New Roman" w:hAnsi="Times New Roman"/>
                <w:b/>
                <w:bCs/>
                <w:sz w:val="24"/>
                <w:szCs w:val="24"/>
              </w:rPr>
            </w:pPr>
            <w:r>
              <w:rPr>
                <w:rFonts w:ascii="Times New Roman" w:eastAsia="Times New Roman" w:hAnsi="Times New Roman"/>
                <w:b/>
                <w:bCs/>
                <w:sz w:val="24"/>
                <w:szCs w:val="24"/>
              </w:rPr>
              <w:lastRenderedPageBreak/>
              <w:t>Tabla</w:t>
            </w:r>
            <w:r w:rsidR="00B331DD" w:rsidRPr="00960C84">
              <w:rPr>
                <w:rFonts w:ascii="Times New Roman" w:eastAsia="Times New Roman" w:hAnsi="Times New Roman"/>
                <w:b/>
                <w:bCs/>
                <w:sz w:val="24"/>
                <w:szCs w:val="24"/>
              </w:rPr>
              <w:t xml:space="preserve"> </w:t>
            </w:r>
            <w:r w:rsidR="00262E1C">
              <w:rPr>
                <w:rFonts w:ascii="Times New Roman" w:eastAsia="Times New Roman" w:hAnsi="Times New Roman"/>
                <w:b/>
                <w:bCs/>
                <w:sz w:val="24"/>
                <w:szCs w:val="24"/>
              </w:rPr>
              <w:t>4</w:t>
            </w:r>
            <w:r w:rsidR="00B331DD" w:rsidRPr="00960C84">
              <w:rPr>
                <w:rFonts w:ascii="Times New Roman" w:eastAsia="Times New Roman" w:hAnsi="Times New Roman"/>
                <w:b/>
                <w:bCs/>
                <w:sz w:val="24"/>
                <w:szCs w:val="24"/>
              </w:rPr>
              <w:t>A</w:t>
            </w:r>
          </w:p>
          <w:p w14:paraId="4EF8543F" w14:textId="34EF16B4" w:rsidR="00B331DD" w:rsidRPr="00960C84" w:rsidRDefault="00B331DD" w:rsidP="00B331DD">
            <w:pPr>
              <w:rPr>
                <w:rFonts w:ascii="Times New Roman" w:eastAsia="Times New Roman" w:hAnsi="Times New Roman"/>
                <w:b/>
                <w:bCs/>
                <w:sz w:val="24"/>
                <w:szCs w:val="24"/>
              </w:rPr>
            </w:pPr>
            <w:r w:rsidRPr="00960C84">
              <w:rPr>
                <w:rFonts w:ascii="Times New Roman" w:eastAsia="Times New Roman" w:hAnsi="Times New Roman"/>
                <w:b/>
                <w:bCs/>
                <w:sz w:val="24"/>
                <w:szCs w:val="24"/>
              </w:rPr>
              <w:t>Prueba de heteroscedasticidad (estadístico de White)</w:t>
            </w:r>
          </w:p>
        </w:tc>
      </w:tr>
      <w:tr w:rsidR="00B331DD" w:rsidRPr="007062FA" w14:paraId="46FB7BC2" w14:textId="6841F3EA" w:rsidTr="00960C84">
        <w:trPr>
          <w:jc w:val="center"/>
        </w:trPr>
        <w:tc>
          <w:tcPr>
            <w:tcW w:w="1311" w:type="dxa"/>
            <w:tcBorders>
              <w:top w:val="single" w:sz="4" w:space="0" w:color="auto"/>
              <w:left w:val="nil"/>
              <w:bottom w:val="nil"/>
              <w:right w:val="nil"/>
            </w:tcBorders>
            <w:vAlign w:val="center"/>
          </w:tcPr>
          <w:p w14:paraId="6FE21B99" w14:textId="77777777" w:rsidR="00B331DD" w:rsidRPr="005C2BC8" w:rsidRDefault="00B331DD" w:rsidP="00B331DD">
            <w:pPr>
              <w:jc w:val="center"/>
              <w:rPr>
                <w:rFonts w:ascii="Times New Roman" w:hAnsi="Times New Roman"/>
                <w:sz w:val="16"/>
                <w:szCs w:val="16"/>
              </w:rPr>
            </w:pPr>
            <w:r w:rsidRPr="005C2BC8">
              <w:rPr>
                <w:rFonts w:ascii="Times New Roman" w:hAnsi="Times New Roman"/>
                <w:sz w:val="16"/>
                <w:szCs w:val="16"/>
              </w:rPr>
              <w:t>Es</w:t>
            </w:r>
            <w:r>
              <w:rPr>
                <w:rFonts w:ascii="Times New Roman" w:hAnsi="Times New Roman"/>
                <w:sz w:val="16"/>
                <w:szCs w:val="16"/>
              </w:rPr>
              <w:t>pecificación</w:t>
            </w:r>
          </w:p>
        </w:tc>
        <w:tc>
          <w:tcPr>
            <w:tcW w:w="907" w:type="dxa"/>
            <w:tcBorders>
              <w:top w:val="single" w:sz="4" w:space="0" w:color="auto"/>
              <w:left w:val="nil"/>
              <w:bottom w:val="nil"/>
              <w:right w:val="nil"/>
            </w:tcBorders>
            <w:vAlign w:val="center"/>
          </w:tcPr>
          <w:p w14:paraId="5049B8D0" w14:textId="77777777" w:rsidR="00B331DD" w:rsidRPr="007062FA" w:rsidRDefault="00B331DD" w:rsidP="00B331DD">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A</w:t>
            </w:r>
          </w:p>
        </w:tc>
        <w:tc>
          <w:tcPr>
            <w:tcW w:w="907" w:type="dxa"/>
            <w:tcBorders>
              <w:top w:val="single" w:sz="4" w:space="0" w:color="auto"/>
              <w:left w:val="nil"/>
              <w:bottom w:val="nil"/>
              <w:right w:val="nil"/>
            </w:tcBorders>
            <w:vAlign w:val="center"/>
          </w:tcPr>
          <w:p w14:paraId="3743EF16" w14:textId="0D61A86E" w:rsidR="00B331DD" w:rsidRPr="007062FA" w:rsidRDefault="00B331DD" w:rsidP="00B331DD">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B</w:t>
            </w:r>
          </w:p>
        </w:tc>
        <w:tc>
          <w:tcPr>
            <w:tcW w:w="907" w:type="dxa"/>
            <w:tcBorders>
              <w:top w:val="single" w:sz="4" w:space="0" w:color="auto"/>
              <w:left w:val="nil"/>
              <w:bottom w:val="nil"/>
              <w:right w:val="nil"/>
            </w:tcBorders>
            <w:vAlign w:val="center"/>
          </w:tcPr>
          <w:p w14:paraId="4437EB92" w14:textId="3BC59C9A" w:rsidR="00B331DD" w:rsidRPr="007062FA" w:rsidRDefault="00B331DD" w:rsidP="00B331DD">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C</w:t>
            </w:r>
          </w:p>
        </w:tc>
        <w:tc>
          <w:tcPr>
            <w:tcW w:w="907" w:type="dxa"/>
            <w:tcBorders>
              <w:top w:val="single" w:sz="4" w:space="0" w:color="auto"/>
              <w:left w:val="nil"/>
              <w:bottom w:val="nil"/>
              <w:right w:val="nil"/>
            </w:tcBorders>
            <w:vAlign w:val="center"/>
          </w:tcPr>
          <w:p w14:paraId="30550BF1" w14:textId="02C5052E" w:rsidR="00B331DD" w:rsidRPr="007062FA" w:rsidRDefault="00B331DD" w:rsidP="00B331DD">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D</w:t>
            </w:r>
          </w:p>
        </w:tc>
        <w:tc>
          <w:tcPr>
            <w:tcW w:w="907" w:type="dxa"/>
            <w:tcBorders>
              <w:top w:val="single" w:sz="4" w:space="0" w:color="auto"/>
              <w:left w:val="nil"/>
              <w:bottom w:val="nil"/>
              <w:right w:val="nil"/>
            </w:tcBorders>
            <w:vAlign w:val="center"/>
          </w:tcPr>
          <w:p w14:paraId="49B7F677" w14:textId="339A8557" w:rsidR="00B331DD" w:rsidRPr="007062FA" w:rsidRDefault="00B331DD" w:rsidP="00B331DD">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E</w:t>
            </w:r>
          </w:p>
        </w:tc>
        <w:tc>
          <w:tcPr>
            <w:tcW w:w="907" w:type="dxa"/>
            <w:tcBorders>
              <w:top w:val="single" w:sz="4" w:space="0" w:color="auto"/>
              <w:left w:val="nil"/>
              <w:bottom w:val="nil"/>
              <w:right w:val="nil"/>
            </w:tcBorders>
            <w:vAlign w:val="center"/>
          </w:tcPr>
          <w:p w14:paraId="31770BDF" w14:textId="1DF47403" w:rsidR="00B331DD" w:rsidRPr="007062FA" w:rsidRDefault="00B331DD" w:rsidP="00B331DD">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F</w:t>
            </w:r>
          </w:p>
        </w:tc>
        <w:tc>
          <w:tcPr>
            <w:tcW w:w="907" w:type="dxa"/>
            <w:tcBorders>
              <w:top w:val="single" w:sz="4" w:space="0" w:color="auto"/>
              <w:left w:val="nil"/>
              <w:bottom w:val="nil"/>
              <w:right w:val="nil"/>
            </w:tcBorders>
            <w:vAlign w:val="center"/>
          </w:tcPr>
          <w:p w14:paraId="3F0F3F48" w14:textId="6F6DB3D5" w:rsidR="00B331DD" w:rsidRPr="007062FA" w:rsidRDefault="00B331DD" w:rsidP="00B331DD">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G</w:t>
            </w:r>
          </w:p>
        </w:tc>
        <w:tc>
          <w:tcPr>
            <w:tcW w:w="907" w:type="dxa"/>
            <w:tcBorders>
              <w:top w:val="single" w:sz="4" w:space="0" w:color="auto"/>
              <w:left w:val="nil"/>
              <w:bottom w:val="nil"/>
              <w:right w:val="nil"/>
            </w:tcBorders>
            <w:vAlign w:val="center"/>
          </w:tcPr>
          <w:p w14:paraId="45374DCC" w14:textId="2C6E3227" w:rsidR="00B331DD" w:rsidRPr="00AD3095" w:rsidRDefault="00B331DD" w:rsidP="00B331DD">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H</w:t>
            </w:r>
          </w:p>
        </w:tc>
      </w:tr>
      <w:tr w:rsidR="00B331DD" w:rsidRPr="00CD3F6D" w14:paraId="0EEE90F2" w14:textId="5F3E989E" w:rsidTr="00960C84">
        <w:trPr>
          <w:jc w:val="center"/>
        </w:trPr>
        <w:tc>
          <w:tcPr>
            <w:tcW w:w="1311" w:type="dxa"/>
            <w:tcBorders>
              <w:top w:val="nil"/>
              <w:left w:val="nil"/>
              <w:bottom w:val="single" w:sz="4" w:space="0" w:color="auto"/>
              <w:right w:val="nil"/>
            </w:tcBorders>
            <w:vAlign w:val="center"/>
          </w:tcPr>
          <w:p w14:paraId="33438F82" w14:textId="51AA236A" w:rsidR="00B331DD" w:rsidRPr="00160163" w:rsidRDefault="00B331DD" w:rsidP="00B331DD">
            <w:pPr>
              <w:jc w:val="center"/>
              <w:rPr>
                <w:rFonts w:ascii="Times New Roman" w:eastAsia="Times New Roman" w:hAnsi="Times New Roman"/>
                <w:bCs/>
                <w:sz w:val="16"/>
                <w:szCs w:val="16"/>
              </w:rPr>
            </w:pPr>
            <w:proofErr w:type="spellStart"/>
            <w:r w:rsidRPr="00160163">
              <w:rPr>
                <w:rFonts w:ascii="Times New Roman" w:eastAsia="Times New Roman" w:hAnsi="Times New Roman"/>
                <w:bCs/>
                <w:sz w:val="16"/>
                <w:szCs w:val="16"/>
              </w:rPr>
              <w:t>Prob</w:t>
            </w:r>
            <w:proofErr w:type="spellEnd"/>
            <w:r w:rsidRPr="00160163">
              <w:rPr>
                <w:rFonts w:ascii="Times New Roman" w:eastAsia="Times New Roman" w:hAnsi="Times New Roman"/>
                <w:bCs/>
                <w:sz w:val="16"/>
                <w:szCs w:val="16"/>
              </w:rPr>
              <w:t xml:space="preserve"> &gt; chi2</w:t>
            </w:r>
          </w:p>
        </w:tc>
        <w:tc>
          <w:tcPr>
            <w:tcW w:w="907" w:type="dxa"/>
            <w:tcBorders>
              <w:top w:val="nil"/>
              <w:left w:val="nil"/>
              <w:bottom w:val="single" w:sz="4" w:space="0" w:color="auto"/>
              <w:right w:val="nil"/>
            </w:tcBorders>
            <w:vAlign w:val="center"/>
          </w:tcPr>
          <w:p w14:paraId="41E52DB1" w14:textId="21B79190" w:rsidR="00B331DD" w:rsidRPr="00160163" w:rsidRDefault="00EB530F" w:rsidP="00160163">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[0.0426]</w:t>
            </w:r>
          </w:p>
        </w:tc>
        <w:tc>
          <w:tcPr>
            <w:tcW w:w="907" w:type="dxa"/>
            <w:tcBorders>
              <w:top w:val="nil"/>
              <w:left w:val="nil"/>
              <w:bottom w:val="single" w:sz="4" w:space="0" w:color="auto"/>
              <w:right w:val="nil"/>
            </w:tcBorders>
            <w:vAlign w:val="center"/>
          </w:tcPr>
          <w:p w14:paraId="1016B360" w14:textId="698177D3" w:rsidR="00B331DD" w:rsidRPr="00160163" w:rsidRDefault="00EA26DE" w:rsidP="00160163">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[0.0852]</w:t>
            </w:r>
          </w:p>
        </w:tc>
        <w:tc>
          <w:tcPr>
            <w:tcW w:w="907" w:type="dxa"/>
            <w:tcBorders>
              <w:top w:val="nil"/>
              <w:left w:val="nil"/>
              <w:bottom w:val="single" w:sz="4" w:space="0" w:color="auto"/>
              <w:right w:val="nil"/>
            </w:tcBorders>
            <w:vAlign w:val="center"/>
          </w:tcPr>
          <w:p w14:paraId="51EC15B5" w14:textId="363DD3CB" w:rsidR="00B331DD" w:rsidRPr="00160163" w:rsidRDefault="00966327" w:rsidP="00160163">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[0.0712]</w:t>
            </w:r>
          </w:p>
        </w:tc>
        <w:tc>
          <w:tcPr>
            <w:tcW w:w="907" w:type="dxa"/>
            <w:tcBorders>
              <w:top w:val="nil"/>
              <w:left w:val="nil"/>
              <w:bottom w:val="single" w:sz="4" w:space="0" w:color="auto"/>
              <w:right w:val="nil"/>
            </w:tcBorders>
            <w:vAlign w:val="center"/>
          </w:tcPr>
          <w:p w14:paraId="6909A48E" w14:textId="4F0AD981" w:rsidR="00B331DD" w:rsidRPr="00160163" w:rsidRDefault="008F0321" w:rsidP="00160163">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[0.0558]</w:t>
            </w:r>
          </w:p>
        </w:tc>
        <w:tc>
          <w:tcPr>
            <w:tcW w:w="907" w:type="dxa"/>
            <w:tcBorders>
              <w:top w:val="nil"/>
              <w:left w:val="nil"/>
              <w:bottom w:val="single" w:sz="4" w:space="0" w:color="auto"/>
              <w:right w:val="nil"/>
            </w:tcBorders>
            <w:vAlign w:val="center"/>
          </w:tcPr>
          <w:p w14:paraId="31FAD9B1" w14:textId="24CB97F2" w:rsidR="00B331DD" w:rsidRPr="00160163" w:rsidRDefault="00AD1B0E" w:rsidP="00160163">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[0.4471]</w:t>
            </w:r>
          </w:p>
        </w:tc>
        <w:tc>
          <w:tcPr>
            <w:tcW w:w="907" w:type="dxa"/>
            <w:tcBorders>
              <w:top w:val="nil"/>
              <w:left w:val="nil"/>
              <w:bottom w:val="single" w:sz="4" w:space="0" w:color="auto"/>
              <w:right w:val="nil"/>
            </w:tcBorders>
            <w:vAlign w:val="center"/>
          </w:tcPr>
          <w:p w14:paraId="7F7E29AC" w14:textId="61C971C1" w:rsidR="00B331DD" w:rsidRPr="00160163" w:rsidRDefault="00CE45F8" w:rsidP="00160163">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[0.4471]</w:t>
            </w:r>
          </w:p>
        </w:tc>
        <w:tc>
          <w:tcPr>
            <w:tcW w:w="907" w:type="dxa"/>
            <w:tcBorders>
              <w:top w:val="nil"/>
              <w:left w:val="nil"/>
              <w:bottom w:val="single" w:sz="4" w:space="0" w:color="auto"/>
              <w:right w:val="nil"/>
            </w:tcBorders>
            <w:vAlign w:val="center"/>
          </w:tcPr>
          <w:p w14:paraId="2611AB8A" w14:textId="7928F78E" w:rsidR="00B331DD" w:rsidRPr="00160163" w:rsidRDefault="006E1F14" w:rsidP="00160163">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[0.4471]</w:t>
            </w:r>
          </w:p>
        </w:tc>
        <w:tc>
          <w:tcPr>
            <w:tcW w:w="907" w:type="dxa"/>
            <w:tcBorders>
              <w:top w:val="nil"/>
              <w:left w:val="nil"/>
              <w:bottom w:val="single" w:sz="4" w:space="0" w:color="auto"/>
              <w:right w:val="nil"/>
            </w:tcBorders>
            <w:vAlign w:val="center"/>
          </w:tcPr>
          <w:p w14:paraId="7F71DC3B" w14:textId="5F4DD536" w:rsidR="00B331DD" w:rsidRPr="00160163" w:rsidRDefault="00160163" w:rsidP="00160163">
            <w:pPr>
              <w:jc w:val="center"/>
              <w:rPr>
                <w:rFonts w:ascii="Times New Roman" w:eastAsia="Times New Roman" w:hAnsi="Times New Roman"/>
                <w:i/>
                <w:iCs/>
                <w:color w:val="000000"/>
                <w:sz w:val="16"/>
                <w:szCs w:val="16"/>
              </w:rPr>
            </w:pPr>
            <w:r>
              <w:rPr>
                <w:rFonts w:ascii="Times New Roman" w:eastAsia="Times New Roman" w:hAnsi="Times New Roman"/>
                <w:i/>
                <w:iCs/>
                <w:color w:val="000000"/>
                <w:sz w:val="16"/>
                <w:szCs w:val="16"/>
              </w:rPr>
              <w:t>[</w:t>
            </w:r>
            <w:r w:rsidRPr="00160163">
              <w:rPr>
                <w:rFonts w:ascii="Times New Roman" w:eastAsia="Times New Roman" w:hAnsi="Times New Roman"/>
                <w:i/>
                <w:iCs/>
                <w:color w:val="000000"/>
                <w:sz w:val="16"/>
                <w:szCs w:val="16"/>
              </w:rPr>
              <w:t>0.4471</w:t>
            </w:r>
            <w:r>
              <w:rPr>
                <w:rFonts w:ascii="Times New Roman" w:eastAsia="Times New Roman" w:hAnsi="Times New Roman"/>
                <w:i/>
                <w:iCs/>
                <w:color w:val="000000"/>
                <w:sz w:val="16"/>
                <w:szCs w:val="16"/>
              </w:rPr>
              <w:t>]</w:t>
            </w:r>
          </w:p>
        </w:tc>
      </w:tr>
      <w:tr w:rsidR="00B331DD" w:rsidRPr="00CD3F6D" w14:paraId="3164DA9F" w14:textId="77777777" w:rsidTr="00960C84">
        <w:trPr>
          <w:jc w:val="center"/>
        </w:trPr>
        <w:tc>
          <w:tcPr>
            <w:tcW w:w="8567" w:type="dxa"/>
            <w:gridSpan w:val="9"/>
            <w:tcBorders>
              <w:top w:val="single" w:sz="4" w:space="0" w:color="auto"/>
              <w:left w:val="nil"/>
              <w:bottom w:val="nil"/>
              <w:right w:val="nil"/>
            </w:tcBorders>
            <w:vAlign w:val="center"/>
          </w:tcPr>
          <w:p w14:paraId="18B8B25E" w14:textId="608BC61E" w:rsidR="00B331DD" w:rsidRDefault="00B331DD" w:rsidP="00B331DD">
            <w:pPr>
              <w:rPr>
                <w:rFonts w:ascii="Times New Roman" w:eastAsia="Times New Roman" w:hAnsi="Times New Roman" w:cs="Times New Roman"/>
                <w:color w:val="000000"/>
                <w:sz w:val="20"/>
                <w:szCs w:val="20"/>
              </w:rPr>
            </w:pPr>
            <w:r w:rsidRPr="00960C84">
              <w:rPr>
                <w:rFonts w:ascii="Times New Roman" w:eastAsia="Times New Roman" w:hAnsi="Times New Roman" w:cs="Times New Roman"/>
                <w:color w:val="000000"/>
                <w:sz w:val="20"/>
                <w:szCs w:val="20"/>
              </w:rPr>
              <w:t>Valor-p estimados entre corchetes</w:t>
            </w:r>
            <w:r w:rsidR="00960C84">
              <w:rPr>
                <w:rFonts w:ascii="Times New Roman" w:eastAsia="Times New Roman" w:hAnsi="Times New Roman" w:cs="Times New Roman"/>
                <w:color w:val="000000"/>
                <w:sz w:val="20"/>
                <w:szCs w:val="20"/>
              </w:rPr>
              <w:t xml:space="preserve">; </w:t>
            </w:r>
            <w:r w:rsidR="00960C84" w:rsidRPr="00960C84">
              <w:rPr>
                <w:rFonts w:ascii="Times New Roman" w:hAnsi="Times New Roman"/>
                <w:sz w:val="20"/>
                <w:szCs w:val="20"/>
              </w:rPr>
              <w:t xml:space="preserve">Ho: Los residuos son </w:t>
            </w:r>
            <w:proofErr w:type="spellStart"/>
            <w:r w:rsidR="00960C84" w:rsidRPr="00960C84">
              <w:rPr>
                <w:rFonts w:ascii="Times New Roman" w:hAnsi="Times New Roman"/>
                <w:sz w:val="20"/>
                <w:szCs w:val="20"/>
              </w:rPr>
              <w:t>homocedásticos</w:t>
            </w:r>
            <w:proofErr w:type="spellEnd"/>
          </w:p>
          <w:p w14:paraId="65C0D2D3" w14:textId="7F577BFA" w:rsidR="00960C84" w:rsidRPr="00960C84" w:rsidRDefault="00960C84" w:rsidP="00B331DD">
            <w:pPr>
              <w:rPr>
                <w:rFonts w:ascii="Times New Roman" w:hAnsi="Times New Roman" w:cs="Times New Roman"/>
                <w:sz w:val="20"/>
                <w:szCs w:val="20"/>
              </w:rPr>
            </w:pPr>
            <w:r w:rsidRPr="00960C84">
              <w:rPr>
                <w:rFonts w:ascii="Times New Roman" w:hAnsi="Times New Roman" w:cs="Times New Roman"/>
                <w:sz w:val="20"/>
                <w:szCs w:val="20"/>
              </w:rPr>
              <w:t xml:space="preserve">Fuente: Elaboración de los autores </w:t>
            </w:r>
          </w:p>
        </w:tc>
      </w:tr>
    </w:tbl>
    <w:p w14:paraId="006CFAE7" w14:textId="68662594" w:rsidR="00B331DD" w:rsidRDefault="00B331DD" w:rsidP="007967F7">
      <w:pPr>
        <w:spacing w:after="0" w:line="360" w:lineRule="auto"/>
        <w:jc w:val="both"/>
        <w:rPr>
          <w:rFonts w:ascii="Times New Roman" w:hAnsi="Times New Roman" w:cs="Times New Roman"/>
          <w:sz w:val="24"/>
          <w:szCs w:val="24"/>
        </w:rPr>
      </w:pPr>
    </w:p>
    <w:tbl>
      <w:tblPr>
        <w:tblStyle w:val="Tablaconcuadrcula"/>
        <w:tblW w:w="8567" w:type="dxa"/>
        <w:jc w:val="center"/>
        <w:tblLook w:val="04A0" w:firstRow="1" w:lastRow="0" w:firstColumn="1" w:lastColumn="0" w:noHBand="0" w:noVBand="1"/>
      </w:tblPr>
      <w:tblGrid>
        <w:gridCol w:w="1311"/>
        <w:gridCol w:w="907"/>
        <w:gridCol w:w="907"/>
        <w:gridCol w:w="907"/>
        <w:gridCol w:w="907"/>
        <w:gridCol w:w="907"/>
        <w:gridCol w:w="907"/>
        <w:gridCol w:w="907"/>
        <w:gridCol w:w="907"/>
      </w:tblGrid>
      <w:tr w:rsidR="00B331DD" w:rsidRPr="007062FA" w14:paraId="2C44A5BA" w14:textId="77777777" w:rsidTr="00960C84">
        <w:trPr>
          <w:jc w:val="center"/>
        </w:trPr>
        <w:tc>
          <w:tcPr>
            <w:tcW w:w="8567" w:type="dxa"/>
            <w:gridSpan w:val="9"/>
            <w:tcBorders>
              <w:top w:val="nil"/>
              <w:left w:val="nil"/>
              <w:bottom w:val="single" w:sz="4" w:space="0" w:color="auto"/>
              <w:right w:val="nil"/>
            </w:tcBorders>
            <w:vAlign w:val="center"/>
          </w:tcPr>
          <w:p w14:paraId="45137AB9" w14:textId="25167CA7" w:rsidR="00960C84" w:rsidRDefault="00960C84" w:rsidP="00B331DD">
            <w:pPr>
              <w:rPr>
                <w:rFonts w:ascii="Times New Roman" w:eastAsia="Times New Roman" w:hAnsi="Times New Roman"/>
                <w:b/>
                <w:bCs/>
                <w:sz w:val="24"/>
                <w:szCs w:val="24"/>
              </w:rPr>
            </w:pPr>
            <w:r w:rsidRPr="00960C84">
              <w:rPr>
                <w:rFonts w:ascii="Times New Roman" w:eastAsia="Times New Roman" w:hAnsi="Times New Roman"/>
                <w:b/>
                <w:bCs/>
                <w:sz w:val="24"/>
                <w:szCs w:val="24"/>
              </w:rPr>
              <w:t xml:space="preserve">Tabla </w:t>
            </w:r>
            <w:r w:rsidR="00262E1C">
              <w:rPr>
                <w:rFonts w:ascii="Times New Roman" w:eastAsia="Times New Roman" w:hAnsi="Times New Roman"/>
                <w:b/>
                <w:bCs/>
                <w:sz w:val="24"/>
                <w:szCs w:val="24"/>
              </w:rPr>
              <w:t>5</w:t>
            </w:r>
            <w:r w:rsidR="00B331DD" w:rsidRPr="00960C84">
              <w:rPr>
                <w:rFonts w:ascii="Times New Roman" w:eastAsia="Times New Roman" w:hAnsi="Times New Roman"/>
                <w:b/>
                <w:bCs/>
                <w:sz w:val="24"/>
                <w:szCs w:val="24"/>
              </w:rPr>
              <w:t>A</w:t>
            </w:r>
          </w:p>
          <w:p w14:paraId="1E1F27C0" w14:textId="6CC45FCC" w:rsidR="00B331DD" w:rsidRPr="00960C84" w:rsidRDefault="00B331DD" w:rsidP="00B331DD">
            <w:pPr>
              <w:rPr>
                <w:rFonts w:ascii="Times New Roman" w:eastAsia="Times New Roman" w:hAnsi="Times New Roman"/>
                <w:b/>
                <w:bCs/>
                <w:sz w:val="24"/>
                <w:szCs w:val="24"/>
              </w:rPr>
            </w:pPr>
            <w:r w:rsidRPr="00960C84">
              <w:rPr>
                <w:rFonts w:ascii="Times New Roman" w:eastAsia="Times New Roman" w:hAnsi="Times New Roman"/>
                <w:b/>
                <w:bCs/>
                <w:sz w:val="24"/>
                <w:szCs w:val="24"/>
              </w:rPr>
              <w:t xml:space="preserve">Prueba de Normalidad (estadístico de </w:t>
            </w:r>
            <w:proofErr w:type="spellStart"/>
            <w:r w:rsidRPr="00960C84">
              <w:rPr>
                <w:rFonts w:ascii="Times New Roman" w:eastAsia="Times New Roman" w:hAnsi="Times New Roman"/>
                <w:b/>
                <w:bCs/>
                <w:sz w:val="24"/>
                <w:szCs w:val="24"/>
              </w:rPr>
              <w:t>Royston</w:t>
            </w:r>
            <w:proofErr w:type="spellEnd"/>
            <w:r w:rsidRPr="00960C84">
              <w:rPr>
                <w:rFonts w:ascii="Times New Roman" w:eastAsia="Times New Roman" w:hAnsi="Times New Roman"/>
                <w:b/>
                <w:bCs/>
                <w:sz w:val="24"/>
                <w:szCs w:val="24"/>
              </w:rPr>
              <w:t xml:space="preserve">) </w:t>
            </w:r>
          </w:p>
        </w:tc>
      </w:tr>
      <w:tr w:rsidR="00B331DD" w:rsidRPr="007062FA" w14:paraId="1EF20B24" w14:textId="77777777" w:rsidTr="00960C84">
        <w:trPr>
          <w:jc w:val="center"/>
        </w:trPr>
        <w:tc>
          <w:tcPr>
            <w:tcW w:w="1311" w:type="dxa"/>
            <w:tcBorders>
              <w:top w:val="single" w:sz="4" w:space="0" w:color="auto"/>
              <w:left w:val="nil"/>
              <w:bottom w:val="nil"/>
              <w:right w:val="nil"/>
            </w:tcBorders>
            <w:vAlign w:val="center"/>
          </w:tcPr>
          <w:p w14:paraId="60969427" w14:textId="77777777" w:rsidR="00B331DD" w:rsidRPr="005C2BC8" w:rsidRDefault="00B331DD" w:rsidP="00EB530F">
            <w:pPr>
              <w:jc w:val="center"/>
              <w:rPr>
                <w:rFonts w:ascii="Times New Roman" w:hAnsi="Times New Roman"/>
                <w:sz w:val="16"/>
                <w:szCs w:val="16"/>
              </w:rPr>
            </w:pPr>
            <w:r w:rsidRPr="005C2BC8">
              <w:rPr>
                <w:rFonts w:ascii="Times New Roman" w:hAnsi="Times New Roman"/>
                <w:sz w:val="16"/>
                <w:szCs w:val="16"/>
              </w:rPr>
              <w:t>Es</w:t>
            </w:r>
            <w:r>
              <w:rPr>
                <w:rFonts w:ascii="Times New Roman" w:hAnsi="Times New Roman"/>
                <w:sz w:val="16"/>
                <w:szCs w:val="16"/>
              </w:rPr>
              <w:t>pecificación</w:t>
            </w:r>
          </w:p>
        </w:tc>
        <w:tc>
          <w:tcPr>
            <w:tcW w:w="907" w:type="dxa"/>
            <w:tcBorders>
              <w:top w:val="single" w:sz="4" w:space="0" w:color="auto"/>
              <w:left w:val="nil"/>
              <w:bottom w:val="nil"/>
              <w:right w:val="nil"/>
            </w:tcBorders>
            <w:vAlign w:val="center"/>
          </w:tcPr>
          <w:p w14:paraId="0BBE963B" w14:textId="77777777" w:rsidR="00B331DD" w:rsidRPr="007062FA" w:rsidRDefault="00B331DD" w:rsidP="00EB530F">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A</w:t>
            </w:r>
          </w:p>
        </w:tc>
        <w:tc>
          <w:tcPr>
            <w:tcW w:w="907" w:type="dxa"/>
            <w:tcBorders>
              <w:top w:val="single" w:sz="4" w:space="0" w:color="auto"/>
              <w:left w:val="nil"/>
              <w:bottom w:val="nil"/>
              <w:right w:val="nil"/>
            </w:tcBorders>
            <w:vAlign w:val="center"/>
          </w:tcPr>
          <w:p w14:paraId="299604CA" w14:textId="77777777" w:rsidR="00B331DD" w:rsidRPr="007062FA" w:rsidRDefault="00B331DD" w:rsidP="00EB530F">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B</w:t>
            </w:r>
          </w:p>
        </w:tc>
        <w:tc>
          <w:tcPr>
            <w:tcW w:w="907" w:type="dxa"/>
            <w:tcBorders>
              <w:top w:val="single" w:sz="4" w:space="0" w:color="auto"/>
              <w:left w:val="nil"/>
              <w:bottom w:val="nil"/>
              <w:right w:val="nil"/>
            </w:tcBorders>
            <w:vAlign w:val="center"/>
          </w:tcPr>
          <w:p w14:paraId="7B428B6D" w14:textId="77777777" w:rsidR="00B331DD" w:rsidRPr="007062FA" w:rsidRDefault="00B331DD" w:rsidP="00EB530F">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C</w:t>
            </w:r>
          </w:p>
        </w:tc>
        <w:tc>
          <w:tcPr>
            <w:tcW w:w="907" w:type="dxa"/>
            <w:tcBorders>
              <w:top w:val="single" w:sz="4" w:space="0" w:color="auto"/>
              <w:left w:val="nil"/>
              <w:bottom w:val="nil"/>
              <w:right w:val="nil"/>
            </w:tcBorders>
            <w:vAlign w:val="center"/>
          </w:tcPr>
          <w:p w14:paraId="42EBD0D4" w14:textId="77777777" w:rsidR="00B331DD" w:rsidRPr="007062FA" w:rsidRDefault="00B331DD" w:rsidP="00EB530F">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D</w:t>
            </w:r>
          </w:p>
        </w:tc>
        <w:tc>
          <w:tcPr>
            <w:tcW w:w="907" w:type="dxa"/>
            <w:tcBorders>
              <w:top w:val="single" w:sz="4" w:space="0" w:color="auto"/>
              <w:left w:val="nil"/>
              <w:bottom w:val="nil"/>
              <w:right w:val="nil"/>
            </w:tcBorders>
            <w:vAlign w:val="center"/>
          </w:tcPr>
          <w:p w14:paraId="6BB73525" w14:textId="77777777" w:rsidR="00B331DD" w:rsidRPr="007062FA" w:rsidRDefault="00B331DD" w:rsidP="00EB530F">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E</w:t>
            </w:r>
          </w:p>
        </w:tc>
        <w:tc>
          <w:tcPr>
            <w:tcW w:w="907" w:type="dxa"/>
            <w:tcBorders>
              <w:top w:val="single" w:sz="4" w:space="0" w:color="auto"/>
              <w:left w:val="nil"/>
              <w:bottom w:val="nil"/>
              <w:right w:val="nil"/>
            </w:tcBorders>
            <w:vAlign w:val="center"/>
          </w:tcPr>
          <w:p w14:paraId="6E7ECE5D" w14:textId="77777777" w:rsidR="00B331DD" w:rsidRPr="007062FA" w:rsidRDefault="00B331DD" w:rsidP="00EB530F">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F</w:t>
            </w:r>
          </w:p>
        </w:tc>
        <w:tc>
          <w:tcPr>
            <w:tcW w:w="907" w:type="dxa"/>
            <w:tcBorders>
              <w:top w:val="single" w:sz="4" w:space="0" w:color="auto"/>
              <w:left w:val="nil"/>
              <w:bottom w:val="nil"/>
              <w:right w:val="nil"/>
            </w:tcBorders>
            <w:vAlign w:val="center"/>
          </w:tcPr>
          <w:p w14:paraId="11BFC4CB" w14:textId="77777777" w:rsidR="00B331DD" w:rsidRPr="007062FA" w:rsidRDefault="00B331DD" w:rsidP="00EB530F">
            <w:pPr>
              <w:jc w:val="center"/>
              <w:rPr>
                <w:rFonts w:ascii="Times New Roman" w:eastAsia="Times New Roman" w:hAnsi="Times New Roman" w:cs="Times New Roman"/>
                <w:i/>
                <w:iCs/>
                <w:color w:val="000000"/>
                <w:sz w:val="18"/>
                <w:szCs w:val="18"/>
                <w:lang w:eastAsia="es-MX"/>
              </w:rPr>
            </w:pPr>
            <w:r w:rsidRPr="00AD3095">
              <w:rPr>
                <w:rFonts w:ascii="Times New Roman" w:hAnsi="Times New Roman"/>
                <w:i/>
                <w:iCs/>
                <w:sz w:val="16"/>
                <w:szCs w:val="16"/>
              </w:rPr>
              <w:t xml:space="preserve">Modelo </w:t>
            </w:r>
            <w:r>
              <w:rPr>
                <w:rFonts w:ascii="Times New Roman" w:hAnsi="Times New Roman"/>
                <w:i/>
                <w:iCs/>
                <w:sz w:val="16"/>
                <w:szCs w:val="16"/>
              </w:rPr>
              <w:t>G</w:t>
            </w:r>
          </w:p>
        </w:tc>
        <w:tc>
          <w:tcPr>
            <w:tcW w:w="907" w:type="dxa"/>
            <w:tcBorders>
              <w:top w:val="single" w:sz="4" w:space="0" w:color="auto"/>
              <w:left w:val="nil"/>
              <w:bottom w:val="nil"/>
              <w:right w:val="nil"/>
            </w:tcBorders>
            <w:vAlign w:val="center"/>
          </w:tcPr>
          <w:p w14:paraId="04ED4EBB" w14:textId="77777777" w:rsidR="00B331DD" w:rsidRPr="00AD3095" w:rsidRDefault="00B331DD" w:rsidP="00EB530F">
            <w:pPr>
              <w:jc w:val="center"/>
              <w:rPr>
                <w:rFonts w:ascii="Times New Roman" w:hAnsi="Times New Roman"/>
                <w:i/>
                <w:iCs/>
                <w:sz w:val="16"/>
                <w:szCs w:val="16"/>
              </w:rPr>
            </w:pPr>
            <w:r w:rsidRPr="00AD3095">
              <w:rPr>
                <w:rFonts w:ascii="Times New Roman" w:hAnsi="Times New Roman"/>
                <w:i/>
                <w:iCs/>
                <w:sz w:val="16"/>
                <w:szCs w:val="16"/>
              </w:rPr>
              <w:t xml:space="preserve">Modelo </w:t>
            </w:r>
            <w:r>
              <w:rPr>
                <w:rFonts w:ascii="Times New Roman" w:hAnsi="Times New Roman"/>
                <w:i/>
                <w:iCs/>
                <w:sz w:val="16"/>
                <w:szCs w:val="16"/>
              </w:rPr>
              <w:t>H</w:t>
            </w:r>
          </w:p>
        </w:tc>
      </w:tr>
      <w:tr w:rsidR="00B331DD" w:rsidRPr="00CD3F6D" w14:paraId="598554E2" w14:textId="77777777" w:rsidTr="00960C84">
        <w:trPr>
          <w:jc w:val="center"/>
        </w:trPr>
        <w:tc>
          <w:tcPr>
            <w:tcW w:w="1311" w:type="dxa"/>
            <w:tcBorders>
              <w:top w:val="nil"/>
              <w:left w:val="nil"/>
              <w:bottom w:val="single" w:sz="4" w:space="0" w:color="auto"/>
              <w:right w:val="nil"/>
            </w:tcBorders>
            <w:vAlign w:val="center"/>
          </w:tcPr>
          <w:p w14:paraId="247B6DC1" w14:textId="77777777" w:rsidR="00B331DD" w:rsidRPr="00160163" w:rsidRDefault="00B331DD" w:rsidP="00EB530F">
            <w:pPr>
              <w:jc w:val="center"/>
              <w:rPr>
                <w:rFonts w:ascii="Times New Roman" w:eastAsia="Times New Roman" w:hAnsi="Times New Roman"/>
                <w:bCs/>
                <w:sz w:val="16"/>
                <w:szCs w:val="16"/>
              </w:rPr>
            </w:pPr>
            <w:proofErr w:type="spellStart"/>
            <w:r w:rsidRPr="00160163">
              <w:rPr>
                <w:rFonts w:ascii="Times New Roman" w:eastAsia="Times New Roman" w:hAnsi="Times New Roman"/>
                <w:bCs/>
                <w:sz w:val="16"/>
                <w:szCs w:val="16"/>
              </w:rPr>
              <w:t>Prob</w:t>
            </w:r>
            <w:proofErr w:type="spellEnd"/>
            <w:r w:rsidRPr="00160163">
              <w:rPr>
                <w:rFonts w:ascii="Times New Roman" w:eastAsia="Times New Roman" w:hAnsi="Times New Roman"/>
                <w:bCs/>
                <w:sz w:val="16"/>
                <w:szCs w:val="16"/>
              </w:rPr>
              <w:t xml:space="preserve"> &gt; chi2</w:t>
            </w:r>
          </w:p>
        </w:tc>
        <w:tc>
          <w:tcPr>
            <w:tcW w:w="907" w:type="dxa"/>
            <w:tcBorders>
              <w:top w:val="nil"/>
              <w:left w:val="nil"/>
              <w:bottom w:val="single" w:sz="4" w:space="0" w:color="auto"/>
              <w:right w:val="nil"/>
            </w:tcBorders>
            <w:vAlign w:val="center"/>
          </w:tcPr>
          <w:p w14:paraId="2E2E4328" w14:textId="0623BB23" w:rsidR="00B331DD" w:rsidRPr="00160163" w:rsidRDefault="00EB530F" w:rsidP="00EB530F">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[0.0022]</w:t>
            </w:r>
          </w:p>
        </w:tc>
        <w:tc>
          <w:tcPr>
            <w:tcW w:w="907" w:type="dxa"/>
            <w:tcBorders>
              <w:top w:val="nil"/>
              <w:left w:val="nil"/>
              <w:bottom w:val="single" w:sz="4" w:space="0" w:color="auto"/>
              <w:right w:val="nil"/>
            </w:tcBorders>
            <w:vAlign w:val="center"/>
          </w:tcPr>
          <w:p w14:paraId="3FD3184B" w14:textId="6DBE1169" w:rsidR="00B331DD" w:rsidRPr="00160163" w:rsidRDefault="00EA26DE" w:rsidP="00EB530F">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[0.0024]</w:t>
            </w:r>
          </w:p>
        </w:tc>
        <w:tc>
          <w:tcPr>
            <w:tcW w:w="907" w:type="dxa"/>
            <w:tcBorders>
              <w:top w:val="nil"/>
              <w:left w:val="nil"/>
              <w:bottom w:val="single" w:sz="4" w:space="0" w:color="auto"/>
              <w:right w:val="nil"/>
            </w:tcBorders>
            <w:vAlign w:val="center"/>
          </w:tcPr>
          <w:p w14:paraId="2057C905" w14:textId="0E1D0B3F" w:rsidR="00B331DD" w:rsidRPr="00160163" w:rsidRDefault="00966327" w:rsidP="00EB530F">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[0.0000]</w:t>
            </w:r>
          </w:p>
        </w:tc>
        <w:tc>
          <w:tcPr>
            <w:tcW w:w="907" w:type="dxa"/>
            <w:tcBorders>
              <w:top w:val="nil"/>
              <w:left w:val="nil"/>
              <w:bottom w:val="single" w:sz="4" w:space="0" w:color="auto"/>
              <w:right w:val="nil"/>
            </w:tcBorders>
            <w:vAlign w:val="center"/>
          </w:tcPr>
          <w:p w14:paraId="62C77B23" w14:textId="4024A043" w:rsidR="00B331DD" w:rsidRPr="00160163" w:rsidRDefault="008F0321" w:rsidP="00EB530F">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[0.0000]</w:t>
            </w:r>
          </w:p>
        </w:tc>
        <w:tc>
          <w:tcPr>
            <w:tcW w:w="907" w:type="dxa"/>
            <w:tcBorders>
              <w:top w:val="nil"/>
              <w:left w:val="nil"/>
              <w:bottom w:val="single" w:sz="4" w:space="0" w:color="auto"/>
              <w:right w:val="nil"/>
            </w:tcBorders>
            <w:vAlign w:val="center"/>
          </w:tcPr>
          <w:p w14:paraId="19CBE202" w14:textId="11E6C9F6" w:rsidR="00B331DD" w:rsidRPr="00160163" w:rsidRDefault="00AD1B0E" w:rsidP="00EB530F">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[0.2588]</w:t>
            </w:r>
          </w:p>
        </w:tc>
        <w:tc>
          <w:tcPr>
            <w:tcW w:w="907" w:type="dxa"/>
            <w:tcBorders>
              <w:top w:val="nil"/>
              <w:left w:val="nil"/>
              <w:bottom w:val="single" w:sz="4" w:space="0" w:color="auto"/>
              <w:right w:val="nil"/>
            </w:tcBorders>
            <w:vAlign w:val="center"/>
          </w:tcPr>
          <w:p w14:paraId="3DAA169B" w14:textId="096C0AFE" w:rsidR="00B331DD" w:rsidRPr="00160163" w:rsidRDefault="00CE45F8" w:rsidP="00EB530F">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[0.0001]</w:t>
            </w:r>
          </w:p>
        </w:tc>
        <w:tc>
          <w:tcPr>
            <w:tcW w:w="907" w:type="dxa"/>
            <w:tcBorders>
              <w:top w:val="nil"/>
              <w:left w:val="nil"/>
              <w:bottom w:val="single" w:sz="4" w:space="0" w:color="auto"/>
              <w:right w:val="nil"/>
            </w:tcBorders>
            <w:vAlign w:val="center"/>
          </w:tcPr>
          <w:p w14:paraId="413214C5" w14:textId="3A354FF7" w:rsidR="00B331DD" w:rsidRPr="00160163" w:rsidRDefault="006E1F14" w:rsidP="00EB530F">
            <w:pPr>
              <w:jc w:val="center"/>
              <w:rPr>
                <w:rFonts w:ascii="Times New Roman" w:eastAsia="Times New Roman" w:hAnsi="Times New Roman"/>
                <w:i/>
                <w:iCs/>
                <w:color w:val="000000"/>
                <w:sz w:val="16"/>
                <w:szCs w:val="16"/>
              </w:rPr>
            </w:pPr>
            <w:r w:rsidRPr="00160163">
              <w:rPr>
                <w:rFonts w:ascii="Times New Roman" w:eastAsia="Times New Roman" w:hAnsi="Times New Roman"/>
                <w:i/>
                <w:iCs/>
                <w:color w:val="000000"/>
                <w:sz w:val="16"/>
                <w:szCs w:val="16"/>
              </w:rPr>
              <w:t>[0.0014]</w:t>
            </w:r>
          </w:p>
        </w:tc>
        <w:tc>
          <w:tcPr>
            <w:tcW w:w="907" w:type="dxa"/>
            <w:tcBorders>
              <w:top w:val="nil"/>
              <w:left w:val="nil"/>
              <w:bottom w:val="single" w:sz="4" w:space="0" w:color="auto"/>
              <w:right w:val="nil"/>
            </w:tcBorders>
          </w:tcPr>
          <w:p w14:paraId="3953A8F3" w14:textId="39C4126C" w:rsidR="00B331DD" w:rsidRPr="00160163" w:rsidRDefault="00160163" w:rsidP="00EB530F">
            <w:pPr>
              <w:jc w:val="center"/>
              <w:rPr>
                <w:rFonts w:ascii="Times New Roman" w:eastAsia="Times New Roman" w:hAnsi="Times New Roman"/>
                <w:i/>
                <w:iCs/>
                <w:color w:val="000000"/>
                <w:sz w:val="16"/>
                <w:szCs w:val="16"/>
              </w:rPr>
            </w:pPr>
            <w:r>
              <w:rPr>
                <w:rFonts w:ascii="Times New Roman" w:eastAsia="Times New Roman" w:hAnsi="Times New Roman"/>
                <w:i/>
                <w:iCs/>
                <w:color w:val="000000"/>
                <w:sz w:val="16"/>
                <w:szCs w:val="16"/>
              </w:rPr>
              <w:t>[</w:t>
            </w:r>
            <w:r w:rsidRPr="00160163">
              <w:rPr>
                <w:rFonts w:ascii="Times New Roman" w:eastAsia="Times New Roman" w:hAnsi="Times New Roman"/>
                <w:i/>
                <w:iCs/>
                <w:color w:val="000000"/>
                <w:sz w:val="16"/>
                <w:szCs w:val="16"/>
              </w:rPr>
              <w:t>0.0003</w:t>
            </w:r>
            <w:r>
              <w:rPr>
                <w:rFonts w:ascii="Times New Roman" w:eastAsia="Times New Roman" w:hAnsi="Times New Roman"/>
                <w:i/>
                <w:iCs/>
                <w:color w:val="000000"/>
                <w:sz w:val="16"/>
                <w:szCs w:val="16"/>
              </w:rPr>
              <w:t>]</w:t>
            </w:r>
          </w:p>
        </w:tc>
      </w:tr>
      <w:tr w:rsidR="00B331DD" w:rsidRPr="00CD3F6D" w14:paraId="5FD9D00F" w14:textId="77777777" w:rsidTr="00960C84">
        <w:trPr>
          <w:jc w:val="center"/>
        </w:trPr>
        <w:tc>
          <w:tcPr>
            <w:tcW w:w="8567" w:type="dxa"/>
            <w:gridSpan w:val="9"/>
            <w:tcBorders>
              <w:top w:val="single" w:sz="4" w:space="0" w:color="auto"/>
              <w:left w:val="nil"/>
              <w:bottom w:val="nil"/>
              <w:right w:val="nil"/>
            </w:tcBorders>
            <w:vAlign w:val="center"/>
          </w:tcPr>
          <w:p w14:paraId="39260535" w14:textId="0CE4F77C" w:rsidR="00B331DD" w:rsidRDefault="00B331DD" w:rsidP="00EB530F">
            <w:pPr>
              <w:rPr>
                <w:rFonts w:ascii="Times New Roman" w:eastAsia="Times New Roman" w:hAnsi="Times New Roman" w:cs="Times New Roman"/>
                <w:color w:val="000000"/>
                <w:sz w:val="20"/>
                <w:szCs w:val="20"/>
              </w:rPr>
            </w:pPr>
            <w:r w:rsidRPr="00960C84">
              <w:rPr>
                <w:rFonts w:ascii="Times New Roman" w:eastAsia="Times New Roman" w:hAnsi="Times New Roman" w:cs="Times New Roman"/>
                <w:color w:val="000000"/>
                <w:sz w:val="20"/>
                <w:szCs w:val="20"/>
              </w:rPr>
              <w:t>Valor-p estimados entre corchetes</w:t>
            </w:r>
            <w:r w:rsidR="00960C84">
              <w:rPr>
                <w:rFonts w:ascii="Times New Roman" w:eastAsia="Times New Roman" w:hAnsi="Times New Roman" w:cs="Times New Roman"/>
                <w:color w:val="000000"/>
                <w:sz w:val="20"/>
                <w:szCs w:val="20"/>
              </w:rPr>
              <w:t xml:space="preserve">; </w:t>
            </w:r>
            <w:r w:rsidR="00960C84" w:rsidRPr="00960C84">
              <w:rPr>
                <w:rFonts w:ascii="Times New Roman" w:hAnsi="Times New Roman"/>
                <w:sz w:val="20"/>
                <w:szCs w:val="20"/>
              </w:rPr>
              <w:t>Ho: Los errores se distribuyen normalmente</w:t>
            </w:r>
          </w:p>
          <w:p w14:paraId="4F3FDBA3" w14:textId="349E4722" w:rsidR="00960C84" w:rsidRPr="00960C84" w:rsidRDefault="00960C84" w:rsidP="00EB530F">
            <w:pPr>
              <w:rPr>
                <w:rFonts w:ascii="Times New Roman" w:hAnsi="Times New Roman" w:cs="Times New Roman"/>
                <w:sz w:val="20"/>
                <w:szCs w:val="20"/>
              </w:rPr>
            </w:pPr>
            <w:r w:rsidRPr="00960C84">
              <w:rPr>
                <w:rFonts w:ascii="Times New Roman" w:hAnsi="Times New Roman" w:cs="Times New Roman"/>
                <w:sz w:val="20"/>
                <w:szCs w:val="20"/>
              </w:rPr>
              <w:t xml:space="preserve">Fuente: Elaboración de los autores </w:t>
            </w:r>
          </w:p>
        </w:tc>
      </w:tr>
    </w:tbl>
    <w:p w14:paraId="618BFEB4" w14:textId="52B73B19" w:rsidR="007967F7" w:rsidRDefault="007967F7" w:rsidP="007967F7">
      <w:pPr>
        <w:spacing w:after="0" w:line="360" w:lineRule="auto"/>
        <w:ind w:firstLine="708"/>
        <w:jc w:val="both"/>
        <w:rPr>
          <w:rFonts w:ascii="Times New Roman" w:hAnsi="Times New Roman" w:cs="Times New Roman"/>
          <w:sz w:val="24"/>
          <w:szCs w:val="24"/>
        </w:rPr>
      </w:pPr>
    </w:p>
    <w:p w14:paraId="0C0942D3" w14:textId="45A39CC5" w:rsidR="00773CAC" w:rsidRPr="00EF21D7" w:rsidRDefault="00773CAC" w:rsidP="007967F7">
      <w:pPr>
        <w:spacing w:after="0" w:line="360" w:lineRule="auto"/>
        <w:jc w:val="both"/>
        <w:rPr>
          <w:rFonts w:ascii="Times New Roman" w:hAnsi="Times New Roman" w:cs="Times New Roman"/>
          <w:sz w:val="24"/>
          <w:szCs w:val="24"/>
          <w:lang w:val="en-GB"/>
        </w:rPr>
      </w:pPr>
      <w:proofErr w:type="spellStart"/>
      <w:r w:rsidRPr="00EF21D7">
        <w:rPr>
          <w:rFonts w:ascii="Times New Roman" w:hAnsi="Times New Roman" w:cs="Times New Roman"/>
          <w:b/>
          <w:bCs/>
          <w:sz w:val="24"/>
          <w:szCs w:val="24"/>
          <w:lang w:val="en-GB"/>
        </w:rPr>
        <w:t>Bibliografía</w:t>
      </w:r>
      <w:proofErr w:type="spellEnd"/>
    </w:p>
    <w:p w14:paraId="2E87F142" w14:textId="3F2391D0" w:rsidR="00773CAC" w:rsidRPr="00180813" w:rsidRDefault="00773CAC" w:rsidP="00262E1C">
      <w:pPr>
        <w:spacing w:after="0" w:line="240" w:lineRule="auto"/>
        <w:ind w:left="709" w:hanging="709"/>
        <w:jc w:val="both"/>
        <w:rPr>
          <w:rFonts w:ascii="Times New Roman" w:eastAsia="Times New Roman" w:hAnsi="Times New Roman" w:cs="Times New Roman"/>
          <w:sz w:val="24"/>
          <w:szCs w:val="24"/>
          <w:lang w:val="en-GB" w:eastAsia="es-MX"/>
        </w:rPr>
      </w:pPr>
      <w:r w:rsidRPr="00180813">
        <w:rPr>
          <w:rFonts w:ascii="Times New Roman" w:eastAsia="Times New Roman" w:hAnsi="Times New Roman" w:cs="Times New Roman"/>
          <w:sz w:val="24"/>
          <w:szCs w:val="24"/>
          <w:lang w:val="en-GB" w:eastAsia="es-MX"/>
        </w:rPr>
        <w:t xml:space="preserve">Ahmed, </w:t>
      </w:r>
      <w:proofErr w:type="spellStart"/>
      <w:r w:rsidRPr="00180813">
        <w:rPr>
          <w:rFonts w:ascii="Times New Roman" w:eastAsia="Times New Roman" w:hAnsi="Times New Roman" w:cs="Times New Roman"/>
          <w:sz w:val="24"/>
          <w:szCs w:val="24"/>
          <w:lang w:val="en-GB" w:eastAsia="es-MX"/>
        </w:rPr>
        <w:t>Shaghil</w:t>
      </w:r>
      <w:proofErr w:type="spellEnd"/>
      <w:r w:rsidRPr="00180813">
        <w:rPr>
          <w:rFonts w:ascii="Times New Roman" w:eastAsia="Times New Roman" w:hAnsi="Times New Roman" w:cs="Times New Roman"/>
          <w:sz w:val="24"/>
          <w:szCs w:val="24"/>
          <w:lang w:val="en-GB" w:eastAsia="es-MX"/>
        </w:rPr>
        <w:t>, Andrew Levin, and Beth Anne Wilson (2002). "Recent U.S.</w:t>
      </w:r>
      <w:r w:rsidR="001A5569">
        <w:rPr>
          <w:rFonts w:ascii="Times New Roman" w:eastAsia="Times New Roman" w:hAnsi="Times New Roman" w:cs="Times New Roman"/>
          <w:sz w:val="24"/>
          <w:szCs w:val="24"/>
          <w:lang w:val="en-GB" w:eastAsia="es-MX"/>
        </w:rPr>
        <w:t xml:space="preserve"> </w:t>
      </w:r>
      <w:r w:rsidRPr="00180813">
        <w:rPr>
          <w:rFonts w:ascii="Times New Roman" w:eastAsia="Times New Roman" w:hAnsi="Times New Roman" w:cs="Times New Roman"/>
          <w:sz w:val="24"/>
          <w:szCs w:val="24"/>
          <w:lang w:val="en-GB" w:eastAsia="es-MX"/>
        </w:rPr>
        <w:t>Macroeconomic Stability: Good Policies, Good Practices, or Good Luck?" Board of</w:t>
      </w:r>
      <w:r w:rsidR="001A5569">
        <w:rPr>
          <w:rFonts w:ascii="Times New Roman" w:eastAsia="Times New Roman" w:hAnsi="Times New Roman" w:cs="Times New Roman"/>
          <w:sz w:val="24"/>
          <w:szCs w:val="24"/>
          <w:lang w:val="en-GB" w:eastAsia="es-MX"/>
        </w:rPr>
        <w:t xml:space="preserve"> </w:t>
      </w:r>
      <w:r w:rsidRPr="00180813">
        <w:rPr>
          <w:rFonts w:ascii="Times New Roman" w:eastAsia="Times New Roman" w:hAnsi="Times New Roman" w:cs="Times New Roman"/>
          <w:sz w:val="24"/>
          <w:szCs w:val="24"/>
          <w:lang w:val="en-GB" w:eastAsia="es-MX"/>
        </w:rPr>
        <w:t>Governors of the Federal Reserve System, International Finance Discussion Paper</w:t>
      </w:r>
      <w:r w:rsidR="001A5569">
        <w:rPr>
          <w:rFonts w:ascii="Times New Roman" w:eastAsia="Times New Roman" w:hAnsi="Times New Roman" w:cs="Times New Roman"/>
          <w:sz w:val="24"/>
          <w:szCs w:val="24"/>
          <w:lang w:val="en-GB" w:eastAsia="es-MX"/>
        </w:rPr>
        <w:t xml:space="preserve"> </w:t>
      </w:r>
      <w:r w:rsidRPr="00180813">
        <w:rPr>
          <w:rFonts w:ascii="Times New Roman" w:eastAsia="Times New Roman" w:hAnsi="Times New Roman" w:cs="Times New Roman"/>
          <w:sz w:val="24"/>
          <w:szCs w:val="24"/>
          <w:lang w:val="en-GB" w:eastAsia="es-MX"/>
        </w:rPr>
        <w:t>2002-730 (July).</w:t>
      </w:r>
      <w:r w:rsidR="0011135F" w:rsidRPr="00180813">
        <w:rPr>
          <w:rFonts w:ascii="Times New Roman" w:eastAsia="Times New Roman" w:hAnsi="Times New Roman" w:cs="Times New Roman"/>
          <w:sz w:val="24"/>
          <w:szCs w:val="24"/>
          <w:lang w:val="en-GB" w:eastAsia="es-MX"/>
        </w:rPr>
        <w:t xml:space="preserve"> </w:t>
      </w:r>
      <w:r w:rsidR="0011135F" w:rsidRPr="00EF21D7">
        <w:rPr>
          <w:rFonts w:ascii="Times New Roman" w:hAnsi="Times New Roman" w:cs="Times New Roman"/>
          <w:sz w:val="24"/>
          <w:szCs w:val="24"/>
          <w:lang w:val="en-GB"/>
        </w:rPr>
        <w:t>https://doi.org/10.17016/ifdp.2002.730</w:t>
      </w:r>
    </w:p>
    <w:p w14:paraId="303F2B0C" w14:textId="5E18490C" w:rsidR="00773CAC" w:rsidRPr="00180813" w:rsidRDefault="00773CAC" w:rsidP="00180438">
      <w:pPr>
        <w:spacing w:after="0" w:line="240" w:lineRule="auto"/>
        <w:ind w:left="709" w:hanging="709"/>
        <w:jc w:val="both"/>
        <w:rPr>
          <w:rFonts w:ascii="Times New Roman" w:eastAsia="Times New Roman" w:hAnsi="Times New Roman" w:cs="Times New Roman"/>
          <w:sz w:val="24"/>
          <w:szCs w:val="24"/>
          <w:lang w:val="en-GB" w:eastAsia="es-MX"/>
        </w:rPr>
      </w:pPr>
      <w:proofErr w:type="spellStart"/>
      <w:r w:rsidRPr="00180813">
        <w:rPr>
          <w:rFonts w:ascii="Times New Roman" w:hAnsi="Times New Roman" w:cs="Times New Roman"/>
          <w:sz w:val="24"/>
          <w:szCs w:val="24"/>
        </w:rPr>
        <w:t>Akram</w:t>
      </w:r>
      <w:proofErr w:type="spellEnd"/>
      <w:r w:rsidRPr="00180813">
        <w:rPr>
          <w:rFonts w:ascii="Times New Roman" w:hAnsi="Times New Roman" w:cs="Times New Roman"/>
          <w:sz w:val="24"/>
          <w:szCs w:val="24"/>
        </w:rPr>
        <w:t xml:space="preserve">, T. y </w:t>
      </w:r>
      <w:proofErr w:type="spellStart"/>
      <w:r w:rsidRPr="00180813">
        <w:rPr>
          <w:rFonts w:ascii="Times New Roman" w:hAnsi="Times New Roman" w:cs="Times New Roman"/>
          <w:sz w:val="24"/>
          <w:szCs w:val="24"/>
        </w:rPr>
        <w:t>Huiqing</w:t>
      </w:r>
      <w:proofErr w:type="spellEnd"/>
      <w:r w:rsidRPr="00180813">
        <w:rPr>
          <w:rFonts w:ascii="Times New Roman" w:hAnsi="Times New Roman" w:cs="Times New Roman"/>
          <w:sz w:val="24"/>
          <w:szCs w:val="24"/>
        </w:rPr>
        <w:t xml:space="preserve"> L. (2016). </w:t>
      </w:r>
      <w:r w:rsidRPr="00180813">
        <w:rPr>
          <w:rFonts w:ascii="Times New Roman" w:hAnsi="Times New Roman" w:cs="Times New Roman"/>
          <w:sz w:val="24"/>
          <w:szCs w:val="24"/>
          <w:lang w:val="en-US"/>
        </w:rPr>
        <w:t>The Empirics of Long-Term US Interest Rates, Levy</w:t>
      </w:r>
      <w:r w:rsidR="00180438">
        <w:rPr>
          <w:rFonts w:ascii="Times New Roman" w:hAnsi="Times New Roman" w:cs="Times New Roman"/>
          <w:sz w:val="24"/>
          <w:szCs w:val="24"/>
          <w:lang w:val="en-US"/>
        </w:rPr>
        <w:t xml:space="preserve"> </w:t>
      </w:r>
      <w:r w:rsidRPr="00180813">
        <w:rPr>
          <w:rFonts w:ascii="Times New Roman" w:hAnsi="Times New Roman" w:cs="Times New Roman"/>
          <w:sz w:val="24"/>
          <w:szCs w:val="24"/>
          <w:lang w:val="en-US"/>
        </w:rPr>
        <w:t xml:space="preserve">Economics Institute, </w:t>
      </w:r>
      <w:r w:rsidR="00180813" w:rsidRPr="00180813">
        <w:rPr>
          <w:rFonts w:ascii="Times New Roman" w:hAnsi="Times New Roman" w:cs="Times New Roman"/>
          <w:sz w:val="24"/>
          <w:szCs w:val="24"/>
          <w:lang w:val="en-US"/>
        </w:rPr>
        <w:t xml:space="preserve">Working Paper </w:t>
      </w:r>
      <w:r w:rsidRPr="00180813">
        <w:rPr>
          <w:rFonts w:ascii="Times New Roman" w:hAnsi="Times New Roman" w:cs="Times New Roman"/>
          <w:sz w:val="24"/>
          <w:szCs w:val="24"/>
          <w:lang w:val="en-US"/>
        </w:rPr>
        <w:t>863, pp. 1-60.</w:t>
      </w:r>
    </w:p>
    <w:p w14:paraId="02633C70" w14:textId="33EFBCA9" w:rsidR="00773CAC" w:rsidRPr="00180813" w:rsidRDefault="00773CAC" w:rsidP="00180438">
      <w:pPr>
        <w:pStyle w:val="Sinespaciado"/>
        <w:ind w:left="709" w:hanging="709"/>
        <w:jc w:val="both"/>
        <w:rPr>
          <w:rFonts w:ascii="Times New Roman" w:hAnsi="Times New Roman" w:cs="Times New Roman"/>
          <w:sz w:val="24"/>
          <w:szCs w:val="24"/>
        </w:rPr>
      </w:pPr>
      <w:bookmarkStart w:id="11" w:name="_Hlk70274895"/>
      <w:r w:rsidRPr="00180813">
        <w:rPr>
          <w:rFonts w:ascii="Times New Roman" w:hAnsi="Times New Roman" w:cs="Times New Roman"/>
          <w:sz w:val="24"/>
          <w:szCs w:val="24"/>
          <w:lang w:val="en-GB"/>
        </w:rPr>
        <w:t>Bernanke, B. S. (2012). Opening Remarks: Monetary Policy since the Onset of the Crisis.</w:t>
      </w:r>
      <w:bookmarkEnd w:id="11"/>
      <w:r w:rsidR="00180438">
        <w:rPr>
          <w:rFonts w:ascii="Times New Roman" w:hAnsi="Times New Roman" w:cs="Times New Roman"/>
          <w:sz w:val="24"/>
          <w:szCs w:val="24"/>
          <w:lang w:val="en-GB"/>
        </w:rPr>
        <w:t xml:space="preserve"> </w:t>
      </w:r>
      <w:r w:rsidRPr="00180813">
        <w:rPr>
          <w:rFonts w:ascii="Times New Roman" w:hAnsi="Times New Roman" w:cs="Times New Roman"/>
          <w:sz w:val="24"/>
          <w:szCs w:val="24"/>
          <w:lang w:val="en-GB"/>
        </w:rPr>
        <w:t xml:space="preserve">Economic Policy Symposium </w:t>
      </w:r>
      <w:proofErr w:type="spellStart"/>
      <w:r w:rsidRPr="00180813">
        <w:rPr>
          <w:rFonts w:ascii="Times New Roman" w:hAnsi="Times New Roman" w:cs="Times New Roman"/>
          <w:sz w:val="24"/>
          <w:szCs w:val="24"/>
          <w:lang w:val="en-GB"/>
        </w:rPr>
        <w:t>auspiciado</w:t>
      </w:r>
      <w:proofErr w:type="spellEnd"/>
      <w:r w:rsidRPr="00180813">
        <w:rPr>
          <w:rFonts w:ascii="Times New Roman" w:hAnsi="Times New Roman" w:cs="Times New Roman"/>
          <w:sz w:val="24"/>
          <w:szCs w:val="24"/>
          <w:lang w:val="en-GB"/>
        </w:rPr>
        <w:t xml:space="preserve"> por </w:t>
      </w:r>
      <w:r w:rsidR="00180813" w:rsidRPr="00180813">
        <w:rPr>
          <w:rFonts w:ascii="Times New Roman" w:hAnsi="Times New Roman" w:cs="Times New Roman"/>
          <w:sz w:val="24"/>
          <w:szCs w:val="24"/>
          <w:lang w:val="en-GB"/>
        </w:rPr>
        <w:t>T</w:t>
      </w:r>
      <w:r w:rsidRPr="00180813">
        <w:rPr>
          <w:rFonts w:ascii="Times New Roman" w:hAnsi="Times New Roman" w:cs="Times New Roman"/>
          <w:sz w:val="24"/>
          <w:szCs w:val="24"/>
          <w:lang w:val="en-GB"/>
        </w:rPr>
        <w:t xml:space="preserve">he Federal Reserve Bank of Kansas City, “The Changing Policy Landscape”. </w:t>
      </w:r>
      <w:r w:rsidRPr="00180813">
        <w:rPr>
          <w:rFonts w:ascii="Times New Roman" w:hAnsi="Times New Roman" w:cs="Times New Roman"/>
          <w:sz w:val="24"/>
          <w:szCs w:val="24"/>
        </w:rPr>
        <w:t xml:space="preserve">Jackson </w:t>
      </w:r>
      <w:proofErr w:type="spellStart"/>
      <w:r w:rsidRPr="00180813">
        <w:rPr>
          <w:rFonts w:ascii="Times New Roman" w:hAnsi="Times New Roman" w:cs="Times New Roman"/>
          <w:sz w:val="24"/>
          <w:szCs w:val="24"/>
        </w:rPr>
        <w:t>Hole</w:t>
      </w:r>
      <w:proofErr w:type="spellEnd"/>
      <w:r w:rsidRPr="00180813">
        <w:rPr>
          <w:rFonts w:ascii="Times New Roman" w:hAnsi="Times New Roman" w:cs="Times New Roman"/>
          <w:sz w:val="24"/>
          <w:szCs w:val="24"/>
        </w:rPr>
        <w:t>, Wyoming. Agosto 31. Disponible en</w:t>
      </w:r>
      <w:r w:rsidR="00180438">
        <w:rPr>
          <w:rFonts w:ascii="Times New Roman" w:hAnsi="Times New Roman" w:cs="Times New Roman"/>
          <w:sz w:val="24"/>
          <w:szCs w:val="24"/>
        </w:rPr>
        <w:t xml:space="preserve"> </w:t>
      </w:r>
      <w:r w:rsidRPr="00180813">
        <w:rPr>
          <w:rFonts w:ascii="Times New Roman" w:hAnsi="Times New Roman" w:cs="Times New Roman"/>
          <w:sz w:val="24"/>
          <w:szCs w:val="24"/>
        </w:rPr>
        <w:t>http://www.federalreserve.gov/newsevents/speech/bernanke20120831a.htm.</w:t>
      </w:r>
    </w:p>
    <w:p w14:paraId="34123655" w14:textId="04791321" w:rsidR="00773CAC" w:rsidRPr="00180813" w:rsidRDefault="00773CAC" w:rsidP="00180438">
      <w:pPr>
        <w:pStyle w:val="Sinespaciado"/>
        <w:ind w:left="709" w:hanging="709"/>
        <w:jc w:val="both"/>
        <w:rPr>
          <w:rFonts w:ascii="Times New Roman" w:hAnsi="Times New Roman" w:cs="Times New Roman"/>
          <w:sz w:val="24"/>
          <w:szCs w:val="24"/>
          <w:lang w:val="en-GB" w:eastAsia="es-MX"/>
        </w:rPr>
      </w:pPr>
      <w:r w:rsidRPr="00180813">
        <w:rPr>
          <w:rFonts w:ascii="Times New Roman" w:hAnsi="Times New Roman" w:cs="Times New Roman"/>
          <w:sz w:val="24"/>
          <w:szCs w:val="24"/>
          <w:lang w:eastAsia="es-MX"/>
        </w:rPr>
        <w:t xml:space="preserve">Blanchard, Olivier y John </w:t>
      </w:r>
      <w:proofErr w:type="spellStart"/>
      <w:r w:rsidRPr="00180813">
        <w:rPr>
          <w:rFonts w:ascii="Times New Roman" w:hAnsi="Times New Roman" w:cs="Times New Roman"/>
          <w:sz w:val="24"/>
          <w:szCs w:val="24"/>
          <w:lang w:eastAsia="es-MX"/>
        </w:rPr>
        <w:t>Simon</w:t>
      </w:r>
      <w:proofErr w:type="spellEnd"/>
      <w:r w:rsidRPr="00180813">
        <w:rPr>
          <w:rFonts w:ascii="Times New Roman" w:hAnsi="Times New Roman" w:cs="Times New Roman"/>
          <w:sz w:val="24"/>
          <w:szCs w:val="24"/>
          <w:lang w:eastAsia="es-MX"/>
        </w:rPr>
        <w:t xml:space="preserve"> (2001). </w:t>
      </w:r>
      <w:r w:rsidRPr="00180813">
        <w:rPr>
          <w:rFonts w:ascii="Times New Roman" w:hAnsi="Times New Roman" w:cs="Times New Roman"/>
          <w:sz w:val="24"/>
          <w:szCs w:val="24"/>
          <w:lang w:val="en-GB" w:eastAsia="es-MX"/>
        </w:rPr>
        <w:t>"The Long and Large Decline in U.S. Output</w:t>
      </w:r>
      <w:r w:rsidR="00180438">
        <w:rPr>
          <w:rFonts w:ascii="Times New Roman" w:hAnsi="Times New Roman" w:cs="Times New Roman"/>
          <w:sz w:val="24"/>
          <w:szCs w:val="24"/>
          <w:lang w:val="en-GB" w:eastAsia="es-MX"/>
        </w:rPr>
        <w:t xml:space="preserve"> </w:t>
      </w:r>
      <w:r w:rsidRPr="00180813">
        <w:rPr>
          <w:rFonts w:ascii="Times New Roman" w:hAnsi="Times New Roman" w:cs="Times New Roman"/>
          <w:sz w:val="24"/>
          <w:szCs w:val="24"/>
          <w:lang w:val="en-GB" w:eastAsia="es-MX"/>
        </w:rPr>
        <w:t>Volatility," </w:t>
      </w:r>
      <w:r w:rsidRPr="00180813">
        <w:rPr>
          <w:rFonts w:ascii="Times New Roman" w:hAnsi="Times New Roman" w:cs="Times New Roman"/>
          <w:i/>
          <w:iCs/>
          <w:sz w:val="24"/>
          <w:szCs w:val="24"/>
          <w:lang w:val="en-GB" w:eastAsia="es-MX"/>
        </w:rPr>
        <w:t>Brookings Papers on Economic Activity</w:t>
      </w:r>
      <w:r w:rsidRPr="00180813">
        <w:rPr>
          <w:rFonts w:ascii="Times New Roman" w:hAnsi="Times New Roman" w:cs="Times New Roman"/>
          <w:sz w:val="24"/>
          <w:szCs w:val="24"/>
          <w:lang w:val="en-GB" w:eastAsia="es-MX"/>
        </w:rPr>
        <w:t>, 1, pp. 135-64.</w:t>
      </w:r>
      <w:r w:rsidR="00180438">
        <w:rPr>
          <w:rFonts w:ascii="Times New Roman" w:hAnsi="Times New Roman" w:cs="Times New Roman"/>
          <w:sz w:val="24"/>
          <w:szCs w:val="24"/>
          <w:lang w:val="en-GB"/>
        </w:rPr>
        <w:t xml:space="preserve"> </w:t>
      </w:r>
      <w:r w:rsidR="0011135F" w:rsidRPr="00EF21D7">
        <w:rPr>
          <w:rFonts w:ascii="Times New Roman" w:hAnsi="Times New Roman" w:cs="Times New Roman"/>
          <w:sz w:val="24"/>
          <w:szCs w:val="24"/>
          <w:lang w:val="en-GB"/>
        </w:rPr>
        <w:t>https://doi.org/10.1353/eca.2001.0013</w:t>
      </w:r>
    </w:p>
    <w:p w14:paraId="1E6F042B" w14:textId="77777777" w:rsidR="006E1E5D" w:rsidRPr="00EF21D7" w:rsidRDefault="006E1E5D" w:rsidP="00180813">
      <w:pPr>
        <w:pStyle w:val="Sinespaciado"/>
        <w:jc w:val="both"/>
        <w:rPr>
          <w:rFonts w:ascii="Times New Roman" w:hAnsi="Times New Roman" w:cs="Times New Roman"/>
          <w:sz w:val="24"/>
          <w:szCs w:val="24"/>
          <w:bdr w:val="none" w:sz="0" w:space="0" w:color="auto" w:frame="1"/>
          <w:lang w:eastAsia="es-MX"/>
        </w:rPr>
      </w:pPr>
      <w:r w:rsidRPr="00180813">
        <w:rPr>
          <w:rFonts w:ascii="Times New Roman" w:hAnsi="Times New Roman" w:cs="Times New Roman"/>
          <w:sz w:val="24"/>
          <w:szCs w:val="24"/>
          <w:lang w:val="en-GB"/>
        </w:rPr>
        <w:t xml:space="preserve">Blanchard, O. (2020), </w:t>
      </w:r>
      <w:r w:rsidRPr="00180813">
        <w:rPr>
          <w:rFonts w:ascii="Times New Roman" w:hAnsi="Times New Roman" w:cs="Times New Roman"/>
          <w:sz w:val="24"/>
          <w:szCs w:val="24"/>
          <w:lang w:val="en-GB" w:eastAsia="es-MX"/>
        </w:rPr>
        <w:t xml:space="preserve">Is there deflation or inflation in our future? </w:t>
      </w:r>
      <w:r w:rsidRPr="00EF21D7">
        <w:rPr>
          <w:rFonts w:ascii="Times New Roman" w:hAnsi="Times New Roman" w:cs="Times New Roman"/>
          <w:sz w:val="24"/>
          <w:szCs w:val="24"/>
        </w:rPr>
        <w:t>VOX EU,</w:t>
      </w:r>
      <w:r w:rsidRPr="00EF21D7">
        <w:rPr>
          <w:rFonts w:ascii="Times New Roman" w:hAnsi="Times New Roman" w:cs="Times New Roman"/>
          <w:sz w:val="24"/>
          <w:szCs w:val="24"/>
          <w:bdr w:val="none" w:sz="0" w:space="0" w:color="auto" w:frame="1"/>
          <w:lang w:eastAsia="es-MX"/>
        </w:rPr>
        <w:t xml:space="preserve"> 24 de abril. </w:t>
      </w:r>
    </w:p>
    <w:p w14:paraId="39BB23B6" w14:textId="29072EC3" w:rsidR="00773CAC" w:rsidRPr="00180813" w:rsidRDefault="0041757A" w:rsidP="00180438">
      <w:pPr>
        <w:pStyle w:val="Sinespaciado"/>
        <w:ind w:left="709" w:hanging="709"/>
        <w:jc w:val="both"/>
        <w:rPr>
          <w:rFonts w:ascii="Times New Roman" w:hAnsi="Times New Roman" w:cs="Times New Roman"/>
          <w:sz w:val="24"/>
          <w:szCs w:val="24"/>
          <w:lang w:val="en-GB" w:eastAsia="es-MX"/>
        </w:rPr>
      </w:pPr>
      <w:r w:rsidRPr="00EF21D7">
        <w:rPr>
          <w:rFonts w:ascii="Times New Roman" w:hAnsi="Times New Roman" w:cs="Times New Roman"/>
          <w:sz w:val="24"/>
          <w:szCs w:val="24"/>
          <w:bdr w:val="none" w:sz="0" w:space="0" w:color="auto" w:frame="1"/>
          <w:lang w:eastAsia="es-MX"/>
        </w:rPr>
        <w:t xml:space="preserve">Becker, </w:t>
      </w:r>
      <w:r w:rsidR="00773CAC" w:rsidRPr="00EF21D7">
        <w:rPr>
          <w:rFonts w:ascii="Times New Roman" w:hAnsi="Times New Roman" w:cs="Times New Roman"/>
          <w:sz w:val="24"/>
          <w:szCs w:val="24"/>
          <w:bdr w:val="none" w:sz="0" w:space="0" w:color="auto" w:frame="1"/>
          <w:lang w:eastAsia="es-MX"/>
        </w:rPr>
        <w:t xml:space="preserve">Bo, </w:t>
      </w:r>
      <w:proofErr w:type="spellStart"/>
      <w:r w:rsidR="00773CAC" w:rsidRPr="00EF21D7">
        <w:rPr>
          <w:rFonts w:ascii="Times New Roman" w:hAnsi="Times New Roman" w:cs="Times New Roman"/>
          <w:sz w:val="24"/>
          <w:szCs w:val="24"/>
          <w:bdr w:val="none" w:sz="0" w:space="0" w:color="auto" w:frame="1"/>
          <w:lang w:eastAsia="es-MX"/>
        </w:rPr>
        <w:t>Hege</w:t>
      </w:r>
      <w:proofErr w:type="spellEnd"/>
      <w:r w:rsidR="00773CAC" w:rsidRPr="00EF21D7">
        <w:rPr>
          <w:rFonts w:ascii="Times New Roman" w:hAnsi="Times New Roman" w:cs="Times New Roman"/>
          <w:sz w:val="24"/>
          <w:szCs w:val="24"/>
          <w:bdr w:val="none" w:sz="0" w:space="0" w:color="auto" w:frame="1"/>
          <w:lang w:eastAsia="es-MX"/>
        </w:rPr>
        <w:t xml:space="preserve">, </w:t>
      </w:r>
      <w:r w:rsidRPr="00EF21D7">
        <w:rPr>
          <w:rFonts w:ascii="Times New Roman" w:hAnsi="Times New Roman" w:cs="Times New Roman"/>
          <w:sz w:val="24"/>
          <w:szCs w:val="24"/>
          <w:bdr w:val="none" w:sz="0" w:space="0" w:color="auto" w:frame="1"/>
          <w:lang w:eastAsia="es-MX"/>
        </w:rPr>
        <w:t xml:space="preserve">B. </w:t>
      </w:r>
      <w:r w:rsidR="00773CAC" w:rsidRPr="00EF21D7">
        <w:rPr>
          <w:rFonts w:ascii="Times New Roman" w:hAnsi="Times New Roman" w:cs="Times New Roman"/>
          <w:sz w:val="24"/>
          <w:szCs w:val="24"/>
          <w:bdr w:val="none" w:sz="0" w:space="0" w:color="auto" w:frame="1"/>
          <w:lang w:eastAsia="es-MX"/>
        </w:rPr>
        <w:t>U. y Mella-Barral, P. </w:t>
      </w:r>
      <w:r w:rsidR="00773CAC" w:rsidRPr="00EF21D7">
        <w:rPr>
          <w:rFonts w:ascii="Times New Roman" w:hAnsi="Times New Roman" w:cs="Times New Roman"/>
          <w:sz w:val="24"/>
          <w:szCs w:val="24"/>
          <w:lang w:eastAsia="es-MX"/>
        </w:rPr>
        <w:t xml:space="preserve"> </w:t>
      </w:r>
      <w:r w:rsidR="00773CAC" w:rsidRPr="00180813">
        <w:rPr>
          <w:rFonts w:ascii="Times New Roman" w:hAnsi="Times New Roman" w:cs="Times New Roman"/>
          <w:sz w:val="24"/>
          <w:szCs w:val="24"/>
          <w:lang w:val="en-GB" w:eastAsia="es-MX"/>
        </w:rPr>
        <w:t>(2020). Corporate debt burdens threaten</w:t>
      </w:r>
      <w:r w:rsidR="00180438">
        <w:rPr>
          <w:rFonts w:ascii="Times New Roman" w:hAnsi="Times New Roman" w:cs="Times New Roman"/>
          <w:sz w:val="24"/>
          <w:szCs w:val="24"/>
          <w:lang w:val="en-GB" w:eastAsia="es-MX"/>
        </w:rPr>
        <w:t xml:space="preserve"> </w:t>
      </w:r>
      <w:r w:rsidR="00773CAC" w:rsidRPr="00180813">
        <w:rPr>
          <w:rFonts w:ascii="Times New Roman" w:hAnsi="Times New Roman" w:cs="Times New Roman"/>
          <w:sz w:val="24"/>
          <w:szCs w:val="24"/>
          <w:lang w:val="en-GB" w:eastAsia="es-MX"/>
        </w:rPr>
        <w:t xml:space="preserve">economic recovery after COVID-19: Planning for debt restructuring should start now, VOX EU, </w:t>
      </w:r>
      <w:r w:rsidR="00773CAC" w:rsidRPr="00180813">
        <w:rPr>
          <w:rFonts w:ascii="Times New Roman" w:hAnsi="Times New Roman" w:cs="Times New Roman"/>
          <w:sz w:val="24"/>
          <w:szCs w:val="24"/>
          <w:bdr w:val="none" w:sz="0" w:space="0" w:color="auto" w:frame="1"/>
          <w:lang w:val="en-GB" w:eastAsia="es-MX"/>
        </w:rPr>
        <w:t xml:space="preserve">21 de </w:t>
      </w:r>
      <w:proofErr w:type="spellStart"/>
      <w:r w:rsidR="00773CAC" w:rsidRPr="00180813">
        <w:rPr>
          <w:rFonts w:ascii="Times New Roman" w:hAnsi="Times New Roman" w:cs="Times New Roman"/>
          <w:sz w:val="24"/>
          <w:szCs w:val="24"/>
          <w:bdr w:val="none" w:sz="0" w:space="0" w:color="auto" w:frame="1"/>
          <w:lang w:val="en-GB" w:eastAsia="es-MX"/>
        </w:rPr>
        <w:t>marzo</w:t>
      </w:r>
      <w:proofErr w:type="spellEnd"/>
      <w:r w:rsidR="00773CAC" w:rsidRPr="00180813">
        <w:rPr>
          <w:rFonts w:ascii="Times New Roman" w:hAnsi="Times New Roman" w:cs="Times New Roman"/>
          <w:sz w:val="24"/>
          <w:szCs w:val="24"/>
          <w:bdr w:val="none" w:sz="0" w:space="0" w:color="auto" w:frame="1"/>
          <w:lang w:val="en-GB" w:eastAsia="es-MX"/>
        </w:rPr>
        <w:t>.</w:t>
      </w:r>
    </w:p>
    <w:p w14:paraId="08075C76" w14:textId="63AED30F" w:rsidR="00773CAC" w:rsidRPr="00180813" w:rsidRDefault="00773CAC" w:rsidP="00180813">
      <w:pPr>
        <w:pStyle w:val="Sinespaciado"/>
        <w:jc w:val="both"/>
        <w:rPr>
          <w:rFonts w:ascii="Times New Roman" w:hAnsi="Times New Roman" w:cs="Times New Roman"/>
          <w:sz w:val="24"/>
          <w:szCs w:val="24"/>
          <w:lang w:val="en-GB"/>
        </w:rPr>
      </w:pPr>
      <w:r w:rsidRPr="00180813">
        <w:rPr>
          <w:rFonts w:ascii="Times New Roman" w:hAnsi="Times New Roman" w:cs="Times New Roman"/>
          <w:sz w:val="24"/>
          <w:szCs w:val="24"/>
          <w:lang w:val="en-GB"/>
        </w:rPr>
        <w:t xml:space="preserve">Friedman, M. </w:t>
      </w:r>
      <w:r w:rsidR="00180438">
        <w:rPr>
          <w:rFonts w:ascii="Times New Roman" w:hAnsi="Times New Roman" w:cs="Times New Roman"/>
          <w:sz w:val="24"/>
          <w:szCs w:val="24"/>
          <w:lang w:val="en-GB"/>
        </w:rPr>
        <w:t>(</w:t>
      </w:r>
      <w:r w:rsidRPr="00180813">
        <w:rPr>
          <w:rFonts w:ascii="Times New Roman" w:hAnsi="Times New Roman" w:cs="Times New Roman"/>
          <w:sz w:val="24"/>
          <w:szCs w:val="24"/>
          <w:lang w:val="en-GB"/>
        </w:rPr>
        <w:t>1968</w:t>
      </w:r>
      <w:r w:rsidR="00180438">
        <w:rPr>
          <w:rFonts w:ascii="Times New Roman" w:hAnsi="Times New Roman" w:cs="Times New Roman"/>
          <w:sz w:val="24"/>
          <w:szCs w:val="24"/>
          <w:lang w:val="en-GB"/>
        </w:rPr>
        <w:t>).</w:t>
      </w:r>
      <w:r w:rsidRPr="00180813">
        <w:rPr>
          <w:rFonts w:ascii="Times New Roman" w:hAnsi="Times New Roman" w:cs="Times New Roman"/>
          <w:sz w:val="24"/>
          <w:szCs w:val="24"/>
          <w:lang w:val="en-GB"/>
        </w:rPr>
        <w:t xml:space="preserve"> The role of monetary policy</w:t>
      </w:r>
      <w:r w:rsidR="00180438">
        <w:rPr>
          <w:rFonts w:ascii="Times New Roman" w:hAnsi="Times New Roman" w:cs="Times New Roman"/>
          <w:sz w:val="24"/>
          <w:szCs w:val="24"/>
          <w:lang w:val="en-GB"/>
        </w:rPr>
        <w:t>.</w:t>
      </w:r>
      <w:r w:rsidRPr="00180813">
        <w:rPr>
          <w:rFonts w:ascii="Times New Roman" w:hAnsi="Times New Roman" w:cs="Times New Roman"/>
          <w:sz w:val="24"/>
          <w:szCs w:val="24"/>
          <w:lang w:val="en-GB"/>
        </w:rPr>
        <w:t xml:space="preserve"> </w:t>
      </w:r>
      <w:r w:rsidRPr="00180813">
        <w:rPr>
          <w:rFonts w:ascii="Times New Roman" w:hAnsi="Times New Roman" w:cs="Times New Roman"/>
          <w:i/>
          <w:iCs/>
          <w:sz w:val="24"/>
          <w:szCs w:val="24"/>
          <w:lang w:val="en-GB"/>
        </w:rPr>
        <w:t>American Economic Review</w:t>
      </w:r>
      <w:r w:rsidRPr="00180813">
        <w:rPr>
          <w:rFonts w:ascii="Times New Roman" w:hAnsi="Times New Roman" w:cs="Times New Roman"/>
          <w:sz w:val="24"/>
          <w:szCs w:val="24"/>
          <w:lang w:val="en-GB"/>
        </w:rPr>
        <w:t xml:space="preserve"> 58</w:t>
      </w:r>
      <w:r w:rsidR="00180438">
        <w:rPr>
          <w:rFonts w:ascii="Times New Roman" w:hAnsi="Times New Roman" w:cs="Times New Roman"/>
          <w:sz w:val="24"/>
          <w:szCs w:val="24"/>
          <w:lang w:val="en-GB"/>
        </w:rPr>
        <w:t>(1)</w:t>
      </w:r>
      <w:r w:rsidRPr="00180813">
        <w:rPr>
          <w:rFonts w:ascii="Times New Roman" w:hAnsi="Times New Roman" w:cs="Times New Roman"/>
          <w:sz w:val="24"/>
          <w:szCs w:val="24"/>
          <w:lang w:val="en-GB"/>
        </w:rPr>
        <w:t>, 1- 17.</w:t>
      </w:r>
    </w:p>
    <w:p w14:paraId="1D72E19A" w14:textId="538065EB" w:rsidR="00773CAC" w:rsidRPr="00180813" w:rsidRDefault="00773CAC" w:rsidP="00180438">
      <w:pPr>
        <w:pStyle w:val="Sinespaciado"/>
        <w:ind w:left="709" w:hanging="709"/>
        <w:jc w:val="both"/>
        <w:rPr>
          <w:rFonts w:ascii="Times New Roman" w:hAnsi="Times New Roman" w:cs="Times New Roman"/>
          <w:sz w:val="24"/>
          <w:szCs w:val="24"/>
          <w:lang w:val="en-GB"/>
        </w:rPr>
      </w:pPr>
      <w:r w:rsidRPr="00180813">
        <w:rPr>
          <w:rFonts w:ascii="Times New Roman" w:hAnsi="Times New Roman" w:cs="Times New Roman"/>
          <w:sz w:val="24"/>
          <w:szCs w:val="24"/>
          <w:lang w:val="en-GB"/>
        </w:rPr>
        <w:t xml:space="preserve">Friedman, M. </w:t>
      </w:r>
      <w:r w:rsidR="00180438">
        <w:rPr>
          <w:rFonts w:ascii="Times New Roman" w:hAnsi="Times New Roman" w:cs="Times New Roman"/>
          <w:sz w:val="24"/>
          <w:szCs w:val="24"/>
          <w:lang w:val="en-GB"/>
        </w:rPr>
        <w:t>(</w:t>
      </w:r>
      <w:r w:rsidRPr="00180813">
        <w:rPr>
          <w:rFonts w:ascii="Times New Roman" w:hAnsi="Times New Roman" w:cs="Times New Roman"/>
          <w:sz w:val="24"/>
          <w:szCs w:val="24"/>
          <w:lang w:val="en-GB"/>
        </w:rPr>
        <w:t>1977</w:t>
      </w:r>
      <w:r w:rsidR="00180438">
        <w:rPr>
          <w:rFonts w:ascii="Times New Roman" w:hAnsi="Times New Roman" w:cs="Times New Roman"/>
          <w:sz w:val="24"/>
          <w:szCs w:val="24"/>
          <w:lang w:val="en-GB"/>
        </w:rPr>
        <w:t>).</w:t>
      </w:r>
      <w:r w:rsidRPr="00180813">
        <w:rPr>
          <w:rFonts w:ascii="Times New Roman" w:hAnsi="Times New Roman" w:cs="Times New Roman"/>
          <w:sz w:val="24"/>
          <w:szCs w:val="24"/>
          <w:lang w:val="en-GB"/>
        </w:rPr>
        <w:t xml:space="preserve"> Nobel lecture: Inflation and unemployment</w:t>
      </w:r>
      <w:r w:rsidR="00180438">
        <w:rPr>
          <w:rFonts w:ascii="Times New Roman" w:hAnsi="Times New Roman" w:cs="Times New Roman"/>
          <w:sz w:val="24"/>
          <w:szCs w:val="24"/>
          <w:lang w:val="en-GB"/>
        </w:rPr>
        <w:t xml:space="preserve">. </w:t>
      </w:r>
      <w:r w:rsidRPr="00180813">
        <w:rPr>
          <w:rFonts w:ascii="Times New Roman" w:hAnsi="Times New Roman" w:cs="Times New Roman"/>
          <w:i/>
          <w:iCs/>
          <w:sz w:val="24"/>
          <w:szCs w:val="24"/>
          <w:lang w:val="en-GB"/>
        </w:rPr>
        <w:t>Journal of Political</w:t>
      </w:r>
      <w:r w:rsidR="00180438">
        <w:rPr>
          <w:rFonts w:ascii="Times New Roman" w:hAnsi="Times New Roman" w:cs="Times New Roman"/>
          <w:i/>
          <w:iCs/>
          <w:sz w:val="24"/>
          <w:szCs w:val="24"/>
          <w:lang w:val="en-GB"/>
        </w:rPr>
        <w:t xml:space="preserve"> </w:t>
      </w:r>
      <w:r w:rsidRPr="00180813">
        <w:rPr>
          <w:rFonts w:ascii="Times New Roman" w:hAnsi="Times New Roman" w:cs="Times New Roman"/>
          <w:i/>
          <w:iCs/>
          <w:sz w:val="24"/>
          <w:szCs w:val="24"/>
          <w:lang w:val="en-GB"/>
        </w:rPr>
        <w:t>Economy</w:t>
      </w:r>
      <w:r w:rsidRPr="00180813">
        <w:rPr>
          <w:rFonts w:ascii="Times New Roman" w:hAnsi="Times New Roman" w:cs="Times New Roman"/>
          <w:sz w:val="24"/>
          <w:szCs w:val="24"/>
          <w:lang w:val="en-GB"/>
        </w:rPr>
        <w:t xml:space="preserve">, 85 (3), pp.451-472. </w:t>
      </w:r>
    </w:p>
    <w:p w14:paraId="5B459667" w14:textId="52077493" w:rsidR="00773CAC" w:rsidRPr="00180813" w:rsidRDefault="00773CAC" w:rsidP="00180438">
      <w:pPr>
        <w:pStyle w:val="Sinespaciado"/>
        <w:ind w:left="709" w:hanging="709"/>
        <w:jc w:val="both"/>
        <w:rPr>
          <w:rFonts w:ascii="Times New Roman" w:hAnsi="Times New Roman" w:cs="Times New Roman"/>
          <w:sz w:val="24"/>
          <w:szCs w:val="24"/>
        </w:rPr>
      </w:pPr>
      <w:r w:rsidRPr="00180813">
        <w:rPr>
          <w:rFonts w:ascii="Times New Roman" w:hAnsi="Times New Roman" w:cs="Times New Roman"/>
          <w:sz w:val="24"/>
          <w:szCs w:val="24"/>
          <w:lang w:val="en-GB"/>
        </w:rPr>
        <w:t>Goodhart, C. y Pradhan,</w:t>
      </w:r>
      <w:r w:rsidR="00180438">
        <w:rPr>
          <w:rFonts w:ascii="Times New Roman" w:hAnsi="Times New Roman" w:cs="Times New Roman"/>
          <w:sz w:val="24"/>
          <w:szCs w:val="24"/>
          <w:lang w:val="en-GB"/>
        </w:rPr>
        <w:t xml:space="preserve"> M.</w:t>
      </w:r>
      <w:r w:rsidRPr="00180813">
        <w:rPr>
          <w:rFonts w:ascii="Times New Roman" w:hAnsi="Times New Roman" w:cs="Times New Roman"/>
          <w:sz w:val="24"/>
          <w:szCs w:val="24"/>
          <w:lang w:val="en-GB"/>
        </w:rPr>
        <w:t xml:space="preserve"> (2020).</w:t>
      </w:r>
      <w:r w:rsidRPr="00180813">
        <w:rPr>
          <w:rFonts w:ascii="Times New Roman" w:hAnsi="Times New Roman" w:cs="Times New Roman"/>
          <w:b/>
          <w:bCs/>
          <w:sz w:val="24"/>
          <w:szCs w:val="24"/>
          <w:lang w:val="en-GB"/>
        </w:rPr>
        <w:t xml:space="preserve"> </w:t>
      </w:r>
      <w:r w:rsidRPr="00180813">
        <w:rPr>
          <w:rFonts w:ascii="Times New Roman" w:hAnsi="Times New Roman" w:cs="Times New Roman"/>
          <w:sz w:val="24"/>
          <w:szCs w:val="24"/>
        </w:rPr>
        <w:t xml:space="preserve">Future </w:t>
      </w:r>
      <w:proofErr w:type="spellStart"/>
      <w:r w:rsidRPr="00180813">
        <w:rPr>
          <w:rFonts w:ascii="Times New Roman" w:hAnsi="Times New Roman" w:cs="Times New Roman"/>
          <w:sz w:val="24"/>
          <w:szCs w:val="24"/>
        </w:rPr>
        <w:t>imperfect</w:t>
      </w:r>
      <w:proofErr w:type="spellEnd"/>
      <w:r w:rsidRPr="00180813">
        <w:rPr>
          <w:rFonts w:ascii="Times New Roman" w:hAnsi="Times New Roman" w:cs="Times New Roman"/>
          <w:sz w:val="24"/>
          <w:szCs w:val="24"/>
        </w:rPr>
        <w:t xml:space="preserve"> after coronavirus, VOX EU, 27 de</w:t>
      </w:r>
      <w:r w:rsidR="00180438">
        <w:rPr>
          <w:rFonts w:ascii="Times New Roman" w:hAnsi="Times New Roman" w:cs="Times New Roman"/>
          <w:sz w:val="24"/>
          <w:szCs w:val="24"/>
        </w:rPr>
        <w:t xml:space="preserve"> </w:t>
      </w:r>
      <w:r w:rsidRPr="00180813">
        <w:rPr>
          <w:rFonts w:ascii="Times New Roman" w:hAnsi="Times New Roman" w:cs="Times New Roman"/>
          <w:sz w:val="24"/>
          <w:szCs w:val="24"/>
        </w:rPr>
        <w:t xml:space="preserve">marzo. </w:t>
      </w:r>
    </w:p>
    <w:p w14:paraId="17A7D5DF" w14:textId="539A7606" w:rsidR="00773CAC" w:rsidRPr="00180813" w:rsidRDefault="00773CAC" w:rsidP="00180438">
      <w:pPr>
        <w:pStyle w:val="Sinespaciado"/>
        <w:ind w:left="709" w:hanging="709"/>
        <w:jc w:val="both"/>
        <w:rPr>
          <w:rFonts w:ascii="Times New Roman" w:eastAsiaTheme="minorEastAsia" w:hAnsi="Times New Roman" w:cs="Times New Roman"/>
          <w:sz w:val="24"/>
          <w:szCs w:val="24"/>
          <w:lang w:val="en-GB"/>
        </w:rPr>
      </w:pPr>
      <w:r w:rsidRPr="00180813">
        <w:rPr>
          <w:rFonts w:ascii="Times New Roman" w:eastAsiaTheme="minorEastAsia" w:hAnsi="Times New Roman" w:cs="Times New Roman"/>
          <w:sz w:val="24"/>
          <w:szCs w:val="24"/>
          <w:lang w:val="en-GB"/>
        </w:rPr>
        <w:t xml:space="preserve">Gordon, R. J. (1984). Supply shocks and monetary policy revisited, </w:t>
      </w:r>
      <w:r w:rsidRPr="00180813">
        <w:rPr>
          <w:rFonts w:ascii="Times New Roman" w:eastAsiaTheme="minorEastAsia" w:hAnsi="Times New Roman" w:cs="Times New Roman"/>
          <w:i/>
          <w:iCs/>
          <w:sz w:val="24"/>
          <w:szCs w:val="24"/>
          <w:lang w:val="en-GB"/>
        </w:rPr>
        <w:t>American Economic</w:t>
      </w:r>
      <w:r w:rsidR="00180438">
        <w:rPr>
          <w:rFonts w:ascii="Times New Roman" w:eastAsiaTheme="minorEastAsia" w:hAnsi="Times New Roman" w:cs="Times New Roman"/>
          <w:i/>
          <w:iCs/>
          <w:sz w:val="24"/>
          <w:szCs w:val="24"/>
          <w:lang w:val="en-GB"/>
        </w:rPr>
        <w:t xml:space="preserve"> </w:t>
      </w:r>
      <w:r w:rsidRPr="00180813">
        <w:rPr>
          <w:rFonts w:ascii="Times New Roman" w:eastAsiaTheme="minorEastAsia" w:hAnsi="Times New Roman" w:cs="Times New Roman"/>
          <w:i/>
          <w:iCs/>
          <w:sz w:val="24"/>
          <w:szCs w:val="24"/>
          <w:lang w:val="en-GB"/>
        </w:rPr>
        <w:t>Review Papers and Proceedings</w:t>
      </w:r>
      <w:r w:rsidRPr="00180813">
        <w:rPr>
          <w:rFonts w:ascii="Times New Roman" w:eastAsiaTheme="minorEastAsia" w:hAnsi="Times New Roman" w:cs="Times New Roman"/>
          <w:sz w:val="24"/>
          <w:szCs w:val="24"/>
          <w:lang w:val="en-GB"/>
        </w:rPr>
        <w:t>, 74(</w:t>
      </w:r>
      <w:r w:rsidR="00180813">
        <w:rPr>
          <w:rFonts w:ascii="Times New Roman" w:eastAsiaTheme="minorEastAsia" w:hAnsi="Times New Roman" w:cs="Times New Roman"/>
          <w:sz w:val="24"/>
          <w:szCs w:val="24"/>
          <w:lang w:val="en-GB"/>
        </w:rPr>
        <w:t>2</w:t>
      </w:r>
      <w:r w:rsidRPr="00180813">
        <w:rPr>
          <w:rFonts w:ascii="Times New Roman" w:eastAsiaTheme="minorEastAsia" w:hAnsi="Times New Roman" w:cs="Times New Roman"/>
          <w:sz w:val="24"/>
          <w:szCs w:val="24"/>
          <w:lang w:val="en-GB"/>
        </w:rPr>
        <w:t>), 38-43.</w:t>
      </w:r>
    </w:p>
    <w:p w14:paraId="1CC4876F" w14:textId="2FC6A5CA" w:rsidR="00773CAC" w:rsidRDefault="00773CAC" w:rsidP="00180438">
      <w:pPr>
        <w:pStyle w:val="Sinespaciado"/>
        <w:ind w:left="709" w:hanging="709"/>
        <w:jc w:val="both"/>
        <w:rPr>
          <w:rFonts w:ascii="Times New Roman" w:hAnsi="Times New Roman" w:cs="Times New Roman"/>
          <w:sz w:val="24"/>
          <w:szCs w:val="24"/>
          <w:lang w:val="en-GB"/>
        </w:rPr>
      </w:pPr>
      <w:r w:rsidRPr="00180813">
        <w:rPr>
          <w:rFonts w:ascii="Times New Roman" w:hAnsi="Times New Roman" w:cs="Times New Roman"/>
          <w:sz w:val="24"/>
          <w:szCs w:val="24"/>
          <w:lang w:val="en-GB"/>
        </w:rPr>
        <w:t xml:space="preserve">Hetzel, R. L. (2008). </w:t>
      </w:r>
      <w:r w:rsidRPr="00180813">
        <w:rPr>
          <w:rFonts w:ascii="Times New Roman" w:hAnsi="Times New Roman" w:cs="Times New Roman"/>
          <w:i/>
          <w:iCs/>
          <w:sz w:val="24"/>
          <w:szCs w:val="24"/>
          <w:lang w:val="en-GB"/>
        </w:rPr>
        <w:t>The Monetary Policy of the Federal Reserve</w:t>
      </w:r>
      <w:r w:rsidRPr="00180813">
        <w:rPr>
          <w:rFonts w:ascii="Times New Roman" w:hAnsi="Times New Roman" w:cs="Times New Roman"/>
          <w:sz w:val="24"/>
          <w:szCs w:val="24"/>
          <w:lang w:val="en-GB"/>
        </w:rPr>
        <w:t>. Cambridge, R.U.:</w:t>
      </w:r>
      <w:r w:rsidR="00180438">
        <w:rPr>
          <w:rFonts w:ascii="Times New Roman" w:hAnsi="Times New Roman" w:cs="Times New Roman"/>
          <w:sz w:val="24"/>
          <w:szCs w:val="24"/>
          <w:lang w:val="en-GB"/>
        </w:rPr>
        <w:t xml:space="preserve"> </w:t>
      </w:r>
      <w:r w:rsidRPr="00180813">
        <w:rPr>
          <w:rFonts w:ascii="Times New Roman" w:hAnsi="Times New Roman" w:cs="Times New Roman"/>
          <w:sz w:val="24"/>
          <w:szCs w:val="24"/>
          <w:lang w:val="en-GB"/>
        </w:rPr>
        <w:t>Cambridge University Press.</w:t>
      </w:r>
    </w:p>
    <w:p w14:paraId="13B5E23C" w14:textId="20AFA32D" w:rsidR="009B3758" w:rsidRDefault="009B3758" w:rsidP="009B3758">
      <w:pPr>
        <w:pStyle w:val="Sinespaciado"/>
        <w:ind w:left="709" w:hanging="709"/>
        <w:jc w:val="both"/>
        <w:rPr>
          <w:rFonts w:ascii="Times New Roman" w:hAnsi="Times New Roman" w:cs="Times New Roman"/>
          <w:sz w:val="24"/>
          <w:szCs w:val="24"/>
          <w:lang w:val="en-GB"/>
        </w:rPr>
      </w:pPr>
      <w:r w:rsidRPr="009B3758">
        <w:rPr>
          <w:rFonts w:ascii="Times New Roman" w:hAnsi="Times New Roman" w:cs="Times New Roman"/>
          <w:sz w:val="24"/>
          <w:szCs w:val="24"/>
          <w:lang w:val="en-GB"/>
        </w:rPr>
        <w:t>Kim, C</w:t>
      </w:r>
      <w:r>
        <w:rPr>
          <w:rFonts w:ascii="Times New Roman" w:hAnsi="Times New Roman" w:cs="Times New Roman"/>
          <w:sz w:val="24"/>
          <w:szCs w:val="24"/>
          <w:lang w:val="en-GB"/>
        </w:rPr>
        <w:t xml:space="preserve">. </w:t>
      </w:r>
      <w:r w:rsidRPr="009B3758">
        <w:rPr>
          <w:rFonts w:ascii="Times New Roman" w:hAnsi="Times New Roman" w:cs="Times New Roman"/>
          <w:sz w:val="24"/>
          <w:szCs w:val="24"/>
          <w:lang w:val="en-GB"/>
        </w:rPr>
        <w:t>y Nelson, C. (1999). Has the U.S. Economy Become More Stable?</w:t>
      </w:r>
      <w:r>
        <w:rPr>
          <w:rFonts w:ascii="Times New Roman" w:hAnsi="Times New Roman" w:cs="Times New Roman"/>
          <w:sz w:val="24"/>
          <w:szCs w:val="24"/>
          <w:lang w:val="en-GB"/>
        </w:rPr>
        <w:t xml:space="preserve"> </w:t>
      </w:r>
      <w:r w:rsidRPr="009B3758">
        <w:rPr>
          <w:rFonts w:ascii="Times New Roman" w:hAnsi="Times New Roman" w:cs="Times New Roman"/>
          <w:sz w:val="24"/>
          <w:szCs w:val="24"/>
          <w:lang w:val="en-GB"/>
        </w:rPr>
        <w:t>A</w:t>
      </w:r>
      <w:r>
        <w:rPr>
          <w:rFonts w:ascii="Times New Roman" w:hAnsi="Times New Roman" w:cs="Times New Roman"/>
          <w:sz w:val="24"/>
          <w:szCs w:val="24"/>
          <w:lang w:val="en-GB"/>
        </w:rPr>
        <w:t xml:space="preserve"> </w:t>
      </w:r>
      <w:r w:rsidRPr="009B3758">
        <w:rPr>
          <w:rFonts w:ascii="Times New Roman" w:hAnsi="Times New Roman" w:cs="Times New Roman"/>
          <w:sz w:val="24"/>
          <w:szCs w:val="24"/>
          <w:lang w:val="en-GB"/>
        </w:rPr>
        <w:t>Bayesian</w:t>
      </w:r>
      <w:r w:rsidR="00180438">
        <w:rPr>
          <w:rFonts w:ascii="Times New Roman" w:hAnsi="Times New Roman" w:cs="Times New Roman"/>
          <w:sz w:val="24"/>
          <w:szCs w:val="24"/>
          <w:lang w:val="en-GB"/>
        </w:rPr>
        <w:t xml:space="preserve"> </w:t>
      </w:r>
      <w:r w:rsidRPr="009B3758">
        <w:rPr>
          <w:rFonts w:ascii="Times New Roman" w:hAnsi="Times New Roman" w:cs="Times New Roman"/>
          <w:sz w:val="24"/>
          <w:szCs w:val="24"/>
          <w:lang w:val="en-GB"/>
        </w:rPr>
        <w:t>Approach Based on a Markov-Switching Model of the Business Cycle</w:t>
      </w:r>
      <w:r w:rsidR="00180438">
        <w:rPr>
          <w:rFonts w:ascii="Times New Roman" w:hAnsi="Times New Roman" w:cs="Times New Roman"/>
          <w:sz w:val="24"/>
          <w:szCs w:val="24"/>
          <w:lang w:val="en-GB"/>
        </w:rPr>
        <w:t xml:space="preserve">. </w:t>
      </w:r>
      <w:r w:rsidRPr="00180438">
        <w:rPr>
          <w:rFonts w:ascii="Times New Roman" w:hAnsi="Times New Roman" w:cs="Times New Roman"/>
          <w:i/>
          <w:iCs/>
          <w:sz w:val="24"/>
          <w:szCs w:val="24"/>
          <w:lang w:val="en-GB"/>
        </w:rPr>
        <w:t>Review of Economics and Statistics</w:t>
      </w:r>
      <w:r w:rsidRPr="009B3758">
        <w:rPr>
          <w:rFonts w:ascii="Times New Roman" w:hAnsi="Times New Roman" w:cs="Times New Roman"/>
          <w:sz w:val="24"/>
          <w:szCs w:val="24"/>
          <w:lang w:val="en-GB"/>
        </w:rPr>
        <w:t xml:space="preserve">, 81(4), 608-16. </w:t>
      </w:r>
      <w:r w:rsidRPr="00180438">
        <w:rPr>
          <w:rFonts w:ascii="Times New Roman" w:hAnsi="Times New Roman" w:cs="Times New Roman"/>
          <w:sz w:val="24"/>
          <w:szCs w:val="24"/>
          <w:lang w:val="en-GB"/>
        </w:rPr>
        <w:t>https://doi.org/10.1162/003465399558472</w:t>
      </w:r>
    </w:p>
    <w:p w14:paraId="00DD89D8" w14:textId="77777777" w:rsidR="00180438" w:rsidRDefault="00773CAC" w:rsidP="00180438">
      <w:pPr>
        <w:pStyle w:val="Sinespaciado"/>
        <w:ind w:left="709" w:hanging="709"/>
        <w:jc w:val="both"/>
        <w:rPr>
          <w:rFonts w:ascii="Times New Roman" w:hAnsi="Times New Roman" w:cs="Times New Roman"/>
          <w:sz w:val="24"/>
          <w:szCs w:val="24"/>
          <w:lang w:val="en-GB" w:eastAsia="es-MX"/>
        </w:rPr>
      </w:pPr>
      <w:r w:rsidRPr="00180813">
        <w:rPr>
          <w:rFonts w:ascii="Times New Roman" w:hAnsi="Times New Roman" w:cs="Times New Roman"/>
          <w:sz w:val="24"/>
          <w:szCs w:val="24"/>
          <w:lang w:val="en-GB" w:eastAsia="es-MX"/>
        </w:rPr>
        <w:lastRenderedPageBreak/>
        <w:t>Kim, C</w:t>
      </w:r>
      <w:r w:rsidR="009B3758">
        <w:rPr>
          <w:rFonts w:ascii="Times New Roman" w:hAnsi="Times New Roman" w:cs="Times New Roman"/>
          <w:sz w:val="24"/>
          <w:szCs w:val="24"/>
          <w:lang w:val="en-GB" w:eastAsia="es-MX"/>
        </w:rPr>
        <w:t>.</w:t>
      </w:r>
      <w:r w:rsidRPr="00180813">
        <w:rPr>
          <w:rFonts w:ascii="Times New Roman" w:hAnsi="Times New Roman" w:cs="Times New Roman"/>
          <w:sz w:val="24"/>
          <w:szCs w:val="24"/>
          <w:lang w:val="en-GB" w:eastAsia="es-MX"/>
        </w:rPr>
        <w:t>, Nelson</w:t>
      </w:r>
      <w:r w:rsidR="00594BFB">
        <w:rPr>
          <w:rFonts w:ascii="Times New Roman" w:hAnsi="Times New Roman" w:cs="Times New Roman"/>
          <w:sz w:val="24"/>
          <w:szCs w:val="24"/>
          <w:lang w:val="en-GB" w:eastAsia="es-MX"/>
        </w:rPr>
        <w:t xml:space="preserve">, </w:t>
      </w:r>
      <w:r w:rsidR="00594BFB" w:rsidRPr="00180813">
        <w:rPr>
          <w:rFonts w:ascii="Times New Roman" w:hAnsi="Times New Roman" w:cs="Times New Roman"/>
          <w:sz w:val="24"/>
          <w:szCs w:val="24"/>
          <w:lang w:val="en-GB" w:eastAsia="es-MX"/>
        </w:rPr>
        <w:t>C</w:t>
      </w:r>
      <w:r w:rsidR="00594BFB">
        <w:rPr>
          <w:rFonts w:ascii="Times New Roman" w:hAnsi="Times New Roman" w:cs="Times New Roman"/>
          <w:sz w:val="24"/>
          <w:szCs w:val="24"/>
          <w:lang w:val="en-GB" w:eastAsia="es-MX"/>
        </w:rPr>
        <w:t>.,</w:t>
      </w:r>
      <w:r w:rsidRPr="00180813">
        <w:rPr>
          <w:rFonts w:ascii="Times New Roman" w:hAnsi="Times New Roman" w:cs="Times New Roman"/>
          <w:sz w:val="24"/>
          <w:szCs w:val="24"/>
          <w:lang w:val="en-GB" w:eastAsia="es-MX"/>
        </w:rPr>
        <w:t xml:space="preserve"> y </w:t>
      </w:r>
      <w:proofErr w:type="spellStart"/>
      <w:r w:rsidRPr="00180813">
        <w:rPr>
          <w:rFonts w:ascii="Times New Roman" w:hAnsi="Times New Roman" w:cs="Times New Roman"/>
          <w:sz w:val="24"/>
          <w:szCs w:val="24"/>
          <w:lang w:val="en-GB" w:eastAsia="es-MX"/>
        </w:rPr>
        <w:t>Piger</w:t>
      </w:r>
      <w:proofErr w:type="spellEnd"/>
      <w:r w:rsidR="00594BFB">
        <w:rPr>
          <w:rFonts w:ascii="Times New Roman" w:hAnsi="Times New Roman" w:cs="Times New Roman"/>
          <w:sz w:val="24"/>
          <w:szCs w:val="24"/>
          <w:lang w:val="en-GB" w:eastAsia="es-MX"/>
        </w:rPr>
        <w:t xml:space="preserve">, </w:t>
      </w:r>
      <w:r w:rsidR="00594BFB" w:rsidRPr="00180813">
        <w:rPr>
          <w:rFonts w:ascii="Times New Roman" w:hAnsi="Times New Roman" w:cs="Times New Roman"/>
          <w:sz w:val="24"/>
          <w:szCs w:val="24"/>
          <w:lang w:val="en-GB" w:eastAsia="es-MX"/>
        </w:rPr>
        <w:t>J</w:t>
      </w:r>
      <w:r w:rsidR="00594BFB">
        <w:rPr>
          <w:rFonts w:ascii="Times New Roman" w:hAnsi="Times New Roman" w:cs="Times New Roman"/>
          <w:sz w:val="24"/>
          <w:szCs w:val="24"/>
          <w:lang w:val="en-GB" w:eastAsia="es-MX"/>
        </w:rPr>
        <w:t>.</w:t>
      </w:r>
      <w:r w:rsidRPr="00180813">
        <w:rPr>
          <w:rFonts w:ascii="Times New Roman" w:hAnsi="Times New Roman" w:cs="Times New Roman"/>
          <w:sz w:val="24"/>
          <w:szCs w:val="24"/>
          <w:lang w:val="en-GB" w:eastAsia="es-MX"/>
        </w:rPr>
        <w:t xml:space="preserve"> (2003). The Less Volatile U.S. Economy: A Bayesian Investigation of Timing, Breadth, and Potential Explanations</w:t>
      </w:r>
      <w:r w:rsidR="00180438">
        <w:rPr>
          <w:rFonts w:ascii="Times New Roman" w:hAnsi="Times New Roman" w:cs="Times New Roman"/>
          <w:sz w:val="24"/>
          <w:szCs w:val="24"/>
          <w:lang w:val="en-GB" w:eastAsia="es-MX"/>
        </w:rPr>
        <w:t>.</w:t>
      </w:r>
      <w:r w:rsidRPr="00180813">
        <w:rPr>
          <w:rFonts w:ascii="Times New Roman" w:hAnsi="Times New Roman" w:cs="Times New Roman"/>
          <w:sz w:val="24"/>
          <w:szCs w:val="24"/>
          <w:lang w:val="en-GB" w:eastAsia="es-MX"/>
        </w:rPr>
        <w:t> </w:t>
      </w:r>
      <w:r w:rsidRPr="00180813">
        <w:rPr>
          <w:rFonts w:ascii="Times New Roman" w:hAnsi="Times New Roman" w:cs="Times New Roman"/>
          <w:i/>
          <w:iCs/>
          <w:sz w:val="24"/>
          <w:szCs w:val="24"/>
          <w:lang w:val="en-GB" w:eastAsia="es-MX"/>
        </w:rPr>
        <w:t>Journal of Business and Economic Statistics</w:t>
      </w:r>
      <w:r w:rsidR="00594BFB">
        <w:rPr>
          <w:rFonts w:ascii="Times New Roman" w:hAnsi="Times New Roman" w:cs="Times New Roman"/>
          <w:sz w:val="24"/>
          <w:szCs w:val="24"/>
          <w:lang w:val="en-GB" w:eastAsia="es-MX"/>
        </w:rPr>
        <w:t>, 22(1)</w:t>
      </w:r>
      <w:r w:rsidR="009B3758">
        <w:rPr>
          <w:rFonts w:ascii="Times New Roman" w:hAnsi="Times New Roman" w:cs="Times New Roman"/>
          <w:sz w:val="24"/>
          <w:szCs w:val="24"/>
          <w:lang w:val="en-GB" w:eastAsia="es-MX"/>
        </w:rPr>
        <w:t xml:space="preserve">, </w:t>
      </w:r>
      <w:r w:rsidR="009B3758" w:rsidRPr="009B3758">
        <w:rPr>
          <w:rFonts w:ascii="Times New Roman" w:hAnsi="Times New Roman" w:cs="Times New Roman"/>
          <w:sz w:val="24"/>
          <w:szCs w:val="24"/>
          <w:lang w:val="en-GB" w:eastAsia="es-MX"/>
        </w:rPr>
        <w:t>1690-1705</w:t>
      </w:r>
      <w:r w:rsidR="009B3758">
        <w:rPr>
          <w:rFonts w:ascii="Times New Roman" w:hAnsi="Times New Roman" w:cs="Times New Roman"/>
          <w:sz w:val="24"/>
          <w:szCs w:val="24"/>
          <w:lang w:val="en-GB" w:eastAsia="es-MX"/>
        </w:rPr>
        <w:t>.</w:t>
      </w:r>
    </w:p>
    <w:p w14:paraId="7DC1AE71" w14:textId="4DFDD05A" w:rsidR="00594BFB" w:rsidRDefault="009B3758" w:rsidP="00180438">
      <w:pPr>
        <w:pStyle w:val="Sinespaciado"/>
        <w:ind w:left="709" w:hanging="1"/>
        <w:jc w:val="both"/>
        <w:rPr>
          <w:rFonts w:ascii="Times New Roman" w:hAnsi="Times New Roman" w:cs="Times New Roman"/>
          <w:sz w:val="24"/>
          <w:szCs w:val="24"/>
          <w:lang w:val="en-GB" w:eastAsia="es-MX"/>
        </w:rPr>
      </w:pPr>
      <w:r w:rsidRPr="009B3758">
        <w:rPr>
          <w:rFonts w:ascii="Times New Roman" w:hAnsi="Times New Roman" w:cs="Times New Roman"/>
          <w:sz w:val="24"/>
          <w:szCs w:val="24"/>
          <w:lang w:val="en-GB" w:eastAsia="es-MX"/>
        </w:rPr>
        <w:t>https://doi.org/10.1198/073500103288619412</w:t>
      </w:r>
    </w:p>
    <w:p w14:paraId="373D9689" w14:textId="17B430F1" w:rsidR="00773CAC" w:rsidRPr="00180813" w:rsidRDefault="00773CAC" w:rsidP="00180438">
      <w:pPr>
        <w:pStyle w:val="Sinespaciado"/>
        <w:ind w:left="709" w:hanging="709"/>
        <w:jc w:val="both"/>
        <w:rPr>
          <w:rStyle w:val="Hipervnculo"/>
          <w:rFonts w:ascii="Times New Roman" w:hAnsi="Times New Roman" w:cs="Times New Roman"/>
          <w:color w:val="auto"/>
          <w:sz w:val="24"/>
          <w:szCs w:val="24"/>
          <w:u w:val="none"/>
        </w:rPr>
      </w:pPr>
      <w:proofErr w:type="spellStart"/>
      <w:r w:rsidRPr="00EF21D7">
        <w:rPr>
          <w:rFonts w:ascii="Times New Roman" w:hAnsi="Times New Roman" w:cs="Times New Roman"/>
          <w:sz w:val="24"/>
          <w:szCs w:val="24"/>
          <w:lang w:val="en-GB"/>
        </w:rPr>
        <w:t>Levrero</w:t>
      </w:r>
      <w:proofErr w:type="spellEnd"/>
      <w:r w:rsidRPr="00EF21D7">
        <w:rPr>
          <w:rFonts w:ascii="Times New Roman" w:hAnsi="Times New Roman" w:cs="Times New Roman"/>
          <w:sz w:val="24"/>
          <w:szCs w:val="24"/>
          <w:lang w:val="en-GB"/>
        </w:rPr>
        <w:t xml:space="preserve">, E. y </w:t>
      </w:r>
      <w:proofErr w:type="spellStart"/>
      <w:r w:rsidRPr="00EF21D7">
        <w:rPr>
          <w:rFonts w:ascii="Times New Roman" w:hAnsi="Times New Roman" w:cs="Times New Roman"/>
          <w:sz w:val="24"/>
          <w:szCs w:val="24"/>
          <w:lang w:val="en-GB"/>
        </w:rPr>
        <w:t>Deleidi</w:t>
      </w:r>
      <w:proofErr w:type="spellEnd"/>
      <w:r w:rsidRPr="00EF21D7">
        <w:rPr>
          <w:rFonts w:ascii="Times New Roman" w:hAnsi="Times New Roman" w:cs="Times New Roman"/>
          <w:sz w:val="24"/>
          <w:szCs w:val="24"/>
          <w:lang w:val="en-GB"/>
        </w:rPr>
        <w:t xml:space="preserve">, M. (2019). </w:t>
      </w:r>
      <w:r w:rsidRPr="00180813">
        <w:rPr>
          <w:rFonts w:ascii="Times New Roman" w:hAnsi="Times New Roman" w:cs="Times New Roman"/>
          <w:sz w:val="24"/>
          <w:szCs w:val="24"/>
          <w:lang w:val="en-US"/>
        </w:rPr>
        <w:t>The causal relationship between short</w:t>
      </w:r>
      <w:r w:rsidR="000B03CB" w:rsidRPr="00180813">
        <w:rPr>
          <w:rFonts w:ascii="Times New Roman" w:hAnsi="Times New Roman" w:cs="Times New Roman"/>
          <w:sz w:val="24"/>
          <w:szCs w:val="24"/>
          <w:lang w:val="en-US"/>
        </w:rPr>
        <w:t xml:space="preserve"> </w:t>
      </w:r>
      <w:r w:rsidRPr="00180813">
        <w:rPr>
          <w:rFonts w:ascii="Times New Roman" w:hAnsi="Times New Roman" w:cs="Times New Roman"/>
          <w:sz w:val="24"/>
          <w:szCs w:val="24"/>
          <w:lang w:val="en-US"/>
        </w:rPr>
        <w:t>and long-term</w:t>
      </w:r>
      <w:r w:rsidR="00180438">
        <w:rPr>
          <w:rFonts w:ascii="Times New Roman" w:hAnsi="Times New Roman" w:cs="Times New Roman"/>
          <w:sz w:val="24"/>
          <w:szCs w:val="24"/>
          <w:lang w:val="en-US"/>
        </w:rPr>
        <w:t xml:space="preserve"> </w:t>
      </w:r>
      <w:r w:rsidRPr="00180813">
        <w:rPr>
          <w:rFonts w:ascii="Times New Roman" w:hAnsi="Times New Roman" w:cs="Times New Roman"/>
          <w:sz w:val="24"/>
          <w:szCs w:val="24"/>
          <w:lang w:val="en-US"/>
        </w:rPr>
        <w:t>interest rates: an empirical assessment of the United States</w:t>
      </w:r>
      <w:r w:rsidR="00180438">
        <w:rPr>
          <w:rFonts w:ascii="Times New Roman" w:hAnsi="Times New Roman" w:cs="Times New Roman"/>
          <w:sz w:val="24"/>
          <w:szCs w:val="24"/>
          <w:lang w:val="en-US"/>
        </w:rPr>
        <w:t xml:space="preserve">. </w:t>
      </w:r>
      <w:proofErr w:type="spellStart"/>
      <w:r w:rsidRPr="00EF21D7">
        <w:rPr>
          <w:rFonts w:ascii="Times New Roman" w:hAnsi="Times New Roman" w:cs="Times New Roman"/>
          <w:i/>
          <w:iCs/>
          <w:sz w:val="24"/>
          <w:szCs w:val="24"/>
        </w:rPr>
        <w:t>Munich</w:t>
      </w:r>
      <w:proofErr w:type="spellEnd"/>
      <w:r w:rsidRPr="00EF21D7">
        <w:rPr>
          <w:rFonts w:ascii="Times New Roman" w:hAnsi="Times New Roman" w:cs="Times New Roman"/>
          <w:i/>
          <w:iCs/>
          <w:sz w:val="24"/>
          <w:szCs w:val="24"/>
        </w:rPr>
        <w:t xml:space="preserve"> Personal </w:t>
      </w:r>
      <w:proofErr w:type="spellStart"/>
      <w:r w:rsidRPr="00EF21D7">
        <w:rPr>
          <w:rFonts w:ascii="Times New Roman" w:hAnsi="Times New Roman" w:cs="Times New Roman"/>
          <w:i/>
          <w:iCs/>
          <w:sz w:val="24"/>
          <w:szCs w:val="24"/>
        </w:rPr>
        <w:t>REPec</w:t>
      </w:r>
      <w:proofErr w:type="spellEnd"/>
      <w:r w:rsidR="00180438" w:rsidRPr="00EF21D7">
        <w:rPr>
          <w:rFonts w:ascii="Times New Roman" w:hAnsi="Times New Roman" w:cs="Times New Roman"/>
          <w:i/>
          <w:iCs/>
          <w:sz w:val="24"/>
          <w:szCs w:val="24"/>
        </w:rPr>
        <w:t xml:space="preserve"> </w:t>
      </w:r>
      <w:r w:rsidR="00316682" w:rsidRPr="00EF21D7">
        <w:rPr>
          <w:rFonts w:ascii="Times New Roman" w:hAnsi="Times New Roman" w:cs="Times New Roman"/>
          <w:i/>
          <w:iCs/>
          <w:sz w:val="24"/>
          <w:szCs w:val="24"/>
        </w:rPr>
        <w:t xml:space="preserve">Archive </w:t>
      </w:r>
      <w:proofErr w:type="spellStart"/>
      <w:r w:rsidR="00180438" w:rsidRPr="00EF21D7">
        <w:rPr>
          <w:rFonts w:ascii="Times New Roman" w:hAnsi="Times New Roman" w:cs="Times New Roman"/>
          <w:i/>
          <w:iCs/>
          <w:sz w:val="24"/>
          <w:szCs w:val="24"/>
        </w:rPr>
        <w:t>Paper</w:t>
      </w:r>
      <w:proofErr w:type="spellEnd"/>
      <w:r w:rsidR="00180438" w:rsidRPr="00EF21D7">
        <w:rPr>
          <w:rFonts w:ascii="Times New Roman" w:hAnsi="Times New Roman" w:cs="Times New Roman"/>
          <w:i/>
          <w:iCs/>
          <w:sz w:val="24"/>
          <w:szCs w:val="24"/>
        </w:rPr>
        <w:t xml:space="preserve"> 93608</w:t>
      </w:r>
      <w:r w:rsidRPr="00EF21D7">
        <w:rPr>
          <w:rFonts w:ascii="Times New Roman" w:hAnsi="Times New Roman" w:cs="Times New Roman"/>
          <w:sz w:val="24"/>
          <w:szCs w:val="24"/>
        </w:rPr>
        <w:t xml:space="preserve">, 1-33. </w:t>
      </w:r>
      <w:r w:rsidRPr="00180813">
        <w:rPr>
          <w:rFonts w:ascii="Times New Roman" w:hAnsi="Times New Roman" w:cs="Times New Roman"/>
          <w:sz w:val="24"/>
          <w:szCs w:val="24"/>
        </w:rPr>
        <w:t xml:space="preserve">Consultado en </w:t>
      </w:r>
      <w:r w:rsidRPr="009B3758">
        <w:rPr>
          <w:rFonts w:ascii="Times New Roman" w:hAnsi="Times New Roman" w:cs="Times New Roman"/>
          <w:sz w:val="24"/>
          <w:szCs w:val="24"/>
        </w:rPr>
        <w:t>https://mpra.ub.uni-muenchen.de/93608/</w:t>
      </w:r>
    </w:p>
    <w:p w14:paraId="50C4DBDD" w14:textId="111133C7" w:rsidR="00773CAC" w:rsidRPr="00180813" w:rsidRDefault="00773CAC" w:rsidP="00180438">
      <w:pPr>
        <w:pStyle w:val="Sinespaciado"/>
        <w:ind w:left="709" w:hanging="709"/>
        <w:jc w:val="both"/>
        <w:rPr>
          <w:rFonts w:ascii="Times New Roman" w:hAnsi="Times New Roman" w:cs="Times New Roman"/>
          <w:sz w:val="24"/>
          <w:szCs w:val="24"/>
          <w:lang w:val="en-GB"/>
        </w:rPr>
      </w:pPr>
      <w:proofErr w:type="spellStart"/>
      <w:r w:rsidRPr="00180813">
        <w:rPr>
          <w:rStyle w:val="Textoennegrita"/>
          <w:rFonts w:ascii="Times New Roman" w:hAnsi="Times New Roman" w:cs="Times New Roman"/>
          <w:b w:val="0"/>
          <w:bCs w:val="0"/>
          <w:sz w:val="24"/>
          <w:szCs w:val="24"/>
          <w:bdr w:val="none" w:sz="0" w:space="0" w:color="auto" w:frame="1"/>
        </w:rPr>
        <w:t>Lilley</w:t>
      </w:r>
      <w:proofErr w:type="spellEnd"/>
      <w:r w:rsidRPr="00180813">
        <w:rPr>
          <w:rStyle w:val="Textoennegrita"/>
          <w:rFonts w:ascii="Times New Roman" w:hAnsi="Times New Roman" w:cs="Times New Roman"/>
          <w:b w:val="0"/>
          <w:bCs w:val="0"/>
          <w:sz w:val="24"/>
          <w:szCs w:val="24"/>
          <w:bdr w:val="none" w:sz="0" w:space="0" w:color="auto" w:frame="1"/>
        </w:rPr>
        <w:t>,</w:t>
      </w:r>
      <w:r w:rsidRPr="00180813">
        <w:rPr>
          <w:rStyle w:val="date-display-single"/>
          <w:rFonts w:ascii="Times New Roman" w:hAnsi="Times New Roman" w:cs="Times New Roman"/>
          <w:sz w:val="24"/>
          <w:szCs w:val="24"/>
          <w:bdr w:val="none" w:sz="0" w:space="0" w:color="auto" w:frame="1"/>
        </w:rPr>
        <w:t xml:space="preserve"> </w:t>
      </w:r>
      <w:r w:rsidRPr="00180813">
        <w:rPr>
          <w:rStyle w:val="Textoennegrita"/>
          <w:rFonts w:ascii="Times New Roman" w:hAnsi="Times New Roman" w:cs="Times New Roman"/>
          <w:b w:val="0"/>
          <w:bCs w:val="0"/>
          <w:sz w:val="24"/>
          <w:szCs w:val="24"/>
          <w:bdr w:val="none" w:sz="0" w:space="0" w:color="auto" w:frame="1"/>
        </w:rPr>
        <w:t xml:space="preserve">A. y </w:t>
      </w:r>
      <w:proofErr w:type="spellStart"/>
      <w:r w:rsidRPr="00180813">
        <w:rPr>
          <w:rStyle w:val="Textoennegrita"/>
          <w:rFonts w:ascii="Times New Roman" w:hAnsi="Times New Roman" w:cs="Times New Roman"/>
          <w:b w:val="0"/>
          <w:bCs w:val="0"/>
          <w:sz w:val="24"/>
          <w:szCs w:val="24"/>
          <w:bdr w:val="none" w:sz="0" w:space="0" w:color="auto" w:frame="1"/>
        </w:rPr>
        <w:t>Rogoff</w:t>
      </w:r>
      <w:proofErr w:type="spellEnd"/>
      <w:r w:rsidRPr="00180813">
        <w:rPr>
          <w:rStyle w:val="Textoennegrita"/>
          <w:rFonts w:ascii="Times New Roman" w:hAnsi="Times New Roman" w:cs="Times New Roman"/>
          <w:b w:val="0"/>
          <w:bCs w:val="0"/>
          <w:sz w:val="24"/>
          <w:szCs w:val="24"/>
          <w:bdr w:val="none" w:sz="0" w:space="0" w:color="auto" w:frame="1"/>
        </w:rPr>
        <w:t>, R. (2020).</w:t>
      </w:r>
      <w:r w:rsidRPr="00180813">
        <w:rPr>
          <w:rFonts w:ascii="Times New Roman" w:hAnsi="Times New Roman" w:cs="Times New Roman"/>
          <w:sz w:val="24"/>
          <w:szCs w:val="24"/>
          <w:bdr w:val="none" w:sz="0" w:space="0" w:color="auto" w:frame="1"/>
        </w:rPr>
        <w:t> </w:t>
      </w:r>
      <w:r w:rsidRPr="00180813">
        <w:rPr>
          <w:rFonts w:ascii="Times New Roman" w:hAnsi="Times New Roman" w:cs="Times New Roman"/>
          <w:kern w:val="36"/>
          <w:sz w:val="24"/>
          <w:szCs w:val="24"/>
          <w:lang w:val="en-GB"/>
        </w:rPr>
        <w:t>Negative interest rate policy in the post COVID-19 world,</w:t>
      </w:r>
      <w:r w:rsidR="00180438">
        <w:rPr>
          <w:rFonts w:ascii="Times New Roman" w:hAnsi="Times New Roman" w:cs="Times New Roman"/>
          <w:kern w:val="36"/>
          <w:sz w:val="24"/>
          <w:szCs w:val="24"/>
          <w:lang w:val="en-GB"/>
        </w:rPr>
        <w:t xml:space="preserve"> </w:t>
      </w:r>
      <w:r w:rsidRPr="00180813">
        <w:rPr>
          <w:rFonts w:ascii="Times New Roman" w:hAnsi="Times New Roman" w:cs="Times New Roman"/>
          <w:kern w:val="36"/>
          <w:sz w:val="24"/>
          <w:szCs w:val="24"/>
          <w:lang w:val="en-GB"/>
        </w:rPr>
        <w:t xml:space="preserve">VOX EU, </w:t>
      </w:r>
      <w:r w:rsidRPr="00180813">
        <w:rPr>
          <w:rStyle w:val="date-display-single"/>
          <w:rFonts w:ascii="Times New Roman" w:hAnsi="Times New Roman" w:cs="Times New Roman"/>
          <w:sz w:val="24"/>
          <w:szCs w:val="24"/>
          <w:bdr w:val="none" w:sz="0" w:space="0" w:color="auto" w:frame="1"/>
          <w:lang w:val="en-GB"/>
        </w:rPr>
        <w:t xml:space="preserve">17 de </w:t>
      </w:r>
      <w:proofErr w:type="spellStart"/>
      <w:r w:rsidRPr="00180813">
        <w:rPr>
          <w:rStyle w:val="date-display-single"/>
          <w:rFonts w:ascii="Times New Roman" w:hAnsi="Times New Roman" w:cs="Times New Roman"/>
          <w:sz w:val="24"/>
          <w:szCs w:val="24"/>
          <w:bdr w:val="none" w:sz="0" w:space="0" w:color="auto" w:frame="1"/>
          <w:lang w:val="en-GB"/>
        </w:rPr>
        <w:t>abril</w:t>
      </w:r>
      <w:proofErr w:type="spellEnd"/>
      <w:r w:rsidRPr="00180813">
        <w:rPr>
          <w:rStyle w:val="date-display-single"/>
          <w:rFonts w:ascii="Times New Roman" w:hAnsi="Times New Roman" w:cs="Times New Roman"/>
          <w:sz w:val="24"/>
          <w:szCs w:val="24"/>
          <w:bdr w:val="none" w:sz="0" w:space="0" w:color="auto" w:frame="1"/>
          <w:lang w:val="en-GB"/>
        </w:rPr>
        <w:t>.</w:t>
      </w:r>
    </w:p>
    <w:p w14:paraId="2B337BD0" w14:textId="7874D849" w:rsidR="00773CAC" w:rsidRPr="00180813" w:rsidRDefault="00773CAC" w:rsidP="009B3758">
      <w:pPr>
        <w:pStyle w:val="Sinespaciado"/>
        <w:ind w:left="709" w:hanging="709"/>
        <w:jc w:val="both"/>
        <w:rPr>
          <w:rFonts w:ascii="Times New Roman" w:eastAsiaTheme="minorEastAsia" w:hAnsi="Times New Roman" w:cs="Times New Roman"/>
          <w:sz w:val="24"/>
          <w:szCs w:val="24"/>
          <w:lang w:val="en-GB"/>
        </w:rPr>
      </w:pPr>
      <w:r w:rsidRPr="00180813">
        <w:rPr>
          <w:rFonts w:ascii="Times New Roman" w:eastAsiaTheme="minorEastAsia" w:hAnsi="Times New Roman" w:cs="Times New Roman"/>
          <w:sz w:val="24"/>
          <w:szCs w:val="24"/>
          <w:lang w:val="en-GB"/>
        </w:rPr>
        <w:t>Lipsey, R. G. (1960). The relationship between unemployment and the rate</w:t>
      </w:r>
      <w:r w:rsidR="002A00BF" w:rsidRPr="00180813">
        <w:rPr>
          <w:rFonts w:ascii="Times New Roman" w:eastAsiaTheme="minorEastAsia" w:hAnsi="Times New Roman" w:cs="Times New Roman"/>
          <w:sz w:val="24"/>
          <w:szCs w:val="24"/>
          <w:lang w:val="en-GB"/>
        </w:rPr>
        <w:t xml:space="preserve"> </w:t>
      </w:r>
      <w:r w:rsidRPr="00180813">
        <w:rPr>
          <w:rFonts w:ascii="Times New Roman" w:eastAsiaTheme="minorEastAsia" w:hAnsi="Times New Roman" w:cs="Times New Roman"/>
          <w:sz w:val="24"/>
          <w:szCs w:val="24"/>
          <w:lang w:val="en-GB"/>
        </w:rPr>
        <w:t>of change of</w:t>
      </w:r>
      <w:r w:rsidR="009B3758">
        <w:rPr>
          <w:rFonts w:ascii="Times New Roman" w:eastAsiaTheme="minorEastAsia" w:hAnsi="Times New Roman" w:cs="Times New Roman"/>
          <w:sz w:val="24"/>
          <w:szCs w:val="24"/>
          <w:lang w:val="en-GB"/>
        </w:rPr>
        <w:t xml:space="preserve"> </w:t>
      </w:r>
      <w:r w:rsidRPr="00180813">
        <w:rPr>
          <w:rFonts w:ascii="Times New Roman" w:eastAsiaTheme="minorEastAsia" w:hAnsi="Times New Roman" w:cs="Times New Roman"/>
          <w:sz w:val="24"/>
          <w:szCs w:val="24"/>
          <w:lang w:val="en-GB"/>
        </w:rPr>
        <w:t xml:space="preserve">money wage rates in the U.K. 1862-1957: A further analysis, </w:t>
      </w:r>
      <w:proofErr w:type="spellStart"/>
      <w:r w:rsidRPr="00180813">
        <w:rPr>
          <w:rFonts w:ascii="Times New Roman" w:eastAsiaTheme="minorEastAsia" w:hAnsi="Times New Roman" w:cs="Times New Roman"/>
          <w:i/>
          <w:iCs/>
          <w:sz w:val="24"/>
          <w:szCs w:val="24"/>
          <w:lang w:val="en-GB"/>
        </w:rPr>
        <w:t>Economica</w:t>
      </w:r>
      <w:proofErr w:type="spellEnd"/>
      <w:r w:rsidRPr="00180813">
        <w:rPr>
          <w:rFonts w:ascii="Times New Roman" w:eastAsiaTheme="minorEastAsia" w:hAnsi="Times New Roman" w:cs="Times New Roman"/>
          <w:sz w:val="24"/>
          <w:szCs w:val="24"/>
          <w:lang w:val="en-GB"/>
        </w:rPr>
        <w:t>, 27</w:t>
      </w:r>
      <w:r w:rsidR="009B3758">
        <w:rPr>
          <w:rFonts w:ascii="Times New Roman" w:eastAsiaTheme="minorEastAsia" w:hAnsi="Times New Roman" w:cs="Times New Roman"/>
          <w:sz w:val="24"/>
          <w:szCs w:val="24"/>
          <w:lang w:val="en-GB"/>
        </w:rPr>
        <w:t>(105)</w:t>
      </w:r>
      <w:r w:rsidRPr="00180813">
        <w:rPr>
          <w:rFonts w:ascii="Times New Roman" w:eastAsiaTheme="minorEastAsia" w:hAnsi="Times New Roman" w:cs="Times New Roman"/>
          <w:sz w:val="24"/>
          <w:szCs w:val="24"/>
          <w:lang w:val="en-GB"/>
        </w:rPr>
        <w:t>, 1-31.</w:t>
      </w:r>
      <w:r w:rsidR="000B03CB" w:rsidRPr="00180813">
        <w:rPr>
          <w:rFonts w:ascii="Times New Roman" w:eastAsiaTheme="minorEastAsia" w:hAnsi="Times New Roman" w:cs="Times New Roman"/>
          <w:sz w:val="24"/>
          <w:szCs w:val="24"/>
          <w:lang w:val="en-GB"/>
        </w:rPr>
        <w:t xml:space="preserve"> </w:t>
      </w:r>
      <w:hyperlink r:id="rId12" w:tgtFrame="_blank" w:history="1">
        <w:r w:rsidR="000B03CB" w:rsidRPr="00180813">
          <w:rPr>
            <w:rFonts w:ascii="Times New Roman" w:hAnsi="Times New Roman" w:cs="Times New Roman"/>
            <w:sz w:val="24"/>
            <w:szCs w:val="24"/>
            <w:lang w:val="en-GB"/>
          </w:rPr>
          <w:t>https://doi.org/10.2307/2551424</w:t>
        </w:r>
      </w:hyperlink>
    </w:p>
    <w:p w14:paraId="71219BD3" w14:textId="445FF32C" w:rsidR="00773CAC" w:rsidRPr="00180813" w:rsidRDefault="00773CAC" w:rsidP="009B3758">
      <w:pPr>
        <w:pStyle w:val="Sinespaciado"/>
        <w:ind w:left="709" w:hanging="709"/>
        <w:jc w:val="both"/>
        <w:rPr>
          <w:rFonts w:ascii="Times New Roman" w:eastAsiaTheme="minorEastAsia" w:hAnsi="Times New Roman" w:cs="Times New Roman"/>
          <w:sz w:val="24"/>
          <w:szCs w:val="24"/>
          <w:lang w:val="en-GB"/>
        </w:rPr>
      </w:pPr>
      <w:r w:rsidRPr="00180813">
        <w:rPr>
          <w:rFonts w:ascii="Times New Roman" w:eastAsiaTheme="minorEastAsia" w:hAnsi="Times New Roman" w:cs="Times New Roman"/>
          <w:sz w:val="24"/>
          <w:szCs w:val="24"/>
          <w:lang w:val="en-GB"/>
        </w:rPr>
        <w:t xml:space="preserve">Lucas, R. E. Jr. (1972). Expectations and the neutrality of money, </w:t>
      </w:r>
      <w:r w:rsidRPr="00180813">
        <w:rPr>
          <w:rFonts w:ascii="Times New Roman" w:eastAsiaTheme="minorEastAsia" w:hAnsi="Times New Roman" w:cs="Times New Roman"/>
          <w:i/>
          <w:iCs/>
          <w:sz w:val="24"/>
          <w:szCs w:val="24"/>
          <w:lang w:val="en-GB"/>
        </w:rPr>
        <w:t>Journa</w:t>
      </w:r>
      <w:r w:rsidR="002A00BF" w:rsidRPr="00180813">
        <w:rPr>
          <w:rFonts w:ascii="Times New Roman" w:eastAsiaTheme="minorEastAsia" w:hAnsi="Times New Roman" w:cs="Times New Roman"/>
          <w:i/>
          <w:iCs/>
          <w:sz w:val="24"/>
          <w:szCs w:val="24"/>
          <w:lang w:val="en-GB"/>
        </w:rPr>
        <w:t>l</w:t>
      </w:r>
      <w:r w:rsidRPr="00180813">
        <w:rPr>
          <w:rFonts w:ascii="Times New Roman" w:eastAsiaTheme="minorEastAsia" w:hAnsi="Times New Roman" w:cs="Times New Roman"/>
          <w:i/>
          <w:iCs/>
          <w:sz w:val="24"/>
          <w:szCs w:val="24"/>
          <w:lang w:val="en-GB"/>
        </w:rPr>
        <w:t xml:space="preserve"> of Econom</w:t>
      </w:r>
      <w:r w:rsidR="002A00BF" w:rsidRPr="00180813">
        <w:rPr>
          <w:rFonts w:ascii="Times New Roman" w:eastAsiaTheme="minorEastAsia" w:hAnsi="Times New Roman" w:cs="Times New Roman"/>
          <w:i/>
          <w:iCs/>
          <w:sz w:val="24"/>
          <w:szCs w:val="24"/>
          <w:lang w:val="en-GB"/>
        </w:rPr>
        <w:t>i</w:t>
      </w:r>
      <w:r w:rsidRPr="00180813">
        <w:rPr>
          <w:rFonts w:ascii="Times New Roman" w:eastAsiaTheme="minorEastAsia" w:hAnsi="Times New Roman" w:cs="Times New Roman"/>
          <w:i/>
          <w:iCs/>
          <w:sz w:val="24"/>
          <w:szCs w:val="24"/>
          <w:lang w:val="en-GB"/>
        </w:rPr>
        <w:t>c</w:t>
      </w:r>
      <w:r w:rsidR="009B3758">
        <w:rPr>
          <w:rFonts w:ascii="Times New Roman" w:eastAsiaTheme="minorEastAsia" w:hAnsi="Times New Roman" w:cs="Times New Roman"/>
          <w:i/>
          <w:iCs/>
          <w:sz w:val="24"/>
          <w:szCs w:val="24"/>
          <w:lang w:val="en-GB"/>
        </w:rPr>
        <w:t xml:space="preserve"> </w:t>
      </w:r>
      <w:r w:rsidRPr="00180813">
        <w:rPr>
          <w:rFonts w:ascii="Times New Roman" w:eastAsiaTheme="minorEastAsia" w:hAnsi="Times New Roman" w:cs="Times New Roman"/>
          <w:i/>
          <w:iCs/>
          <w:sz w:val="24"/>
          <w:szCs w:val="24"/>
          <w:lang w:val="en-GB"/>
        </w:rPr>
        <w:t>Theory</w:t>
      </w:r>
      <w:r w:rsidRPr="00180813">
        <w:rPr>
          <w:rFonts w:ascii="Times New Roman" w:eastAsiaTheme="minorEastAsia" w:hAnsi="Times New Roman" w:cs="Times New Roman"/>
          <w:sz w:val="24"/>
          <w:szCs w:val="24"/>
          <w:lang w:val="en-GB"/>
        </w:rPr>
        <w:t>, 4(</w:t>
      </w:r>
      <w:r w:rsidR="009B3758">
        <w:rPr>
          <w:rFonts w:ascii="Times New Roman" w:eastAsiaTheme="minorEastAsia" w:hAnsi="Times New Roman" w:cs="Times New Roman"/>
          <w:sz w:val="24"/>
          <w:szCs w:val="24"/>
          <w:lang w:val="en-GB"/>
        </w:rPr>
        <w:t>2</w:t>
      </w:r>
      <w:r w:rsidRPr="00180813">
        <w:rPr>
          <w:rFonts w:ascii="Times New Roman" w:eastAsiaTheme="minorEastAsia" w:hAnsi="Times New Roman" w:cs="Times New Roman"/>
          <w:sz w:val="24"/>
          <w:szCs w:val="24"/>
          <w:lang w:val="en-GB"/>
        </w:rPr>
        <w:t>), 103-124.</w:t>
      </w:r>
      <w:r w:rsidR="009B3758">
        <w:rPr>
          <w:rFonts w:ascii="Times New Roman" w:eastAsiaTheme="minorEastAsia" w:hAnsi="Times New Roman" w:cs="Times New Roman"/>
          <w:sz w:val="24"/>
          <w:szCs w:val="24"/>
          <w:lang w:val="en-GB"/>
        </w:rPr>
        <w:t xml:space="preserve"> </w:t>
      </w:r>
      <w:r w:rsidR="009B3758" w:rsidRPr="009B3758">
        <w:rPr>
          <w:rFonts w:ascii="Times New Roman" w:eastAsiaTheme="minorEastAsia" w:hAnsi="Times New Roman" w:cs="Times New Roman"/>
          <w:sz w:val="24"/>
          <w:szCs w:val="24"/>
          <w:lang w:val="en-GB"/>
        </w:rPr>
        <w:t>https://doi.org/10.1016/0022-0531(72)90142-1</w:t>
      </w:r>
    </w:p>
    <w:p w14:paraId="3163CF83" w14:textId="4C0A34AA" w:rsidR="00773CAC" w:rsidRPr="00180813" w:rsidRDefault="00773CAC" w:rsidP="00180813">
      <w:pPr>
        <w:pStyle w:val="Sinespaciado"/>
        <w:ind w:left="709" w:hanging="709"/>
        <w:jc w:val="both"/>
        <w:rPr>
          <w:rFonts w:ascii="Times New Roman" w:hAnsi="Times New Roman" w:cs="Times New Roman"/>
          <w:sz w:val="24"/>
          <w:szCs w:val="24"/>
          <w:lang w:val="en-GB" w:eastAsia="es-MX"/>
        </w:rPr>
      </w:pPr>
      <w:proofErr w:type="spellStart"/>
      <w:r w:rsidRPr="00180813">
        <w:rPr>
          <w:rFonts w:ascii="Times New Roman" w:hAnsi="Times New Roman" w:cs="Times New Roman"/>
          <w:sz w:val="24"/>
          <w:szCs w:val="24"/>
          <w:lang w:eastAsia="es-MX"/>
        </w:rPr>
        <w:t>McConnell</w:t>
      </w:r>
      <w:proofErr w:type="spellEnd"/>
      <w:r w:rsidRPr="00180813">
        <w:rPr>
          <w:rFonts w:ascii="Times New Roman" w:hAnsi="Times New Roman" w:cs="Times New Roman"/>
          <w:sz w:val="24"/>
          <w:szCs w:val="24"/>
          <w:lang w:eastAsia="es-MX"/>
        </w:rPr>
        <w:t>, M</w:t>
      </w:r>
      <w:r w:rsidR="00316682">
        <w:rPr>
          <w:rFonts w:ascii="Times New Roman" w:hAnsi="Times New Roman" w:cs="Times New Roman"/>
          <w:sz w:val="24"/>
          <w:szCs w:val="24"/>
          <w:lang w:eastAsia="es-MX"/>
        </w:rPr>
        <w:t xml:space="preserve">., </w:t>
      </w:r>
      <w:r w:rsidRPr="00180813">
        <w:rPr>
          <w:rFonts w:ascii="Times New Roman" w:hAnsi="Times New Roman" w:cs="Times New Roman"/>
          <w:sz w:val="24"/>
          <w:szCs w:val="24"/>
          <w:lang w:eastAsia="es-MX"/>
        </w:rPr>
        <w:t xml:space="preserve">y </w:t>
      </w:r>
      <w:proofErr w:type="spellStart"/>
      <w:r w:rsidRPr="00180813">
        <w:rPr>
          <w:rFonts w:ascii="Times New Roman" w:hAnsi="Times New Roman" w:cs="Times New Roman"/>
          <w:sz w:val="24"/>
          <w:szCs w:val="24"/>
          <w:lang w:eastAsia="es-MX"/>
        </w:rPr>
        <w:t>Perez-Quiros</w:t>
      </w:r>
      <w:proofErr w:type="spellEnd"/>
      <w:r w:rsidRPr="00180813">
        <w:rPr>
          <w:rFonts w:ascii="Times New Roman" w:hAnsi="Times New Roman" w:cs="Times New Roman"/>
          <w:sz w:val="24"/>
          <w:szCs w:val="24"/>
          <w:lang w:eastAsia="es-MX"/>
        </w:rPr>
        <w:t>, G</w:t>
      </w:r>
      <w:r w:rsidR="00316682">
        <w:rPr>
          <w:rFonts w:ascii="Times New Roman" w:hAnsi="Times New Roman" w:cs="Times New Roman"/>
          <w:sz w:val="24"/>
          <w:szCs w:val="24"/>
          <w:lang w:eastAsia="es-MX"/>
        </w:rPr>
        <w:t xml:space="preserve">. </w:t>
      </w:r>
      <w:r w:rsidRPr="00180813">
        <w:rPr>
          <w:rFonts w:ascii="Times New Roman" w:hAnsi="Times New Roman" w:cs="Times New Roman"/>
          <w:sz w:val="24"/>
          <w:szCs w:val="24"/>
          <w:lang w:eastAsia="es-MX"/>
        </w:rPr>
        <w:t xml:space="preserve">(2000). </w:t>
      </w:r>
      <w:r w:rsidRPr="00180813">
        <w:rPr>
          <w:rFonts w:ascii="Times New Roman" w:hAnsi="Times New Roman" w:cs="Times New Roman"/>
          <w:sz w:val="24"/>
          <w:szCs w:val="24"/>
          <w:lang w:val="en-GB" w:eastAsia="es-MX"/>
        </w:rPr>
        <w:t>Output Fluctuations in the United</w:t>
      </w:r>
      <w:r w:rsidR="00316682">
        <w:rPr>
          <w:rFonts w:ascii="Times New Roman" w:hAnsi="Times New Roman" w:cs="Times New Roman"/>
          <w:sz w:val="24"/>
          <w:szCs w:val="24"/>
          <w:lang w:val="en-GB" w:eastAsia="es-MX"/>
        </w:rPr>
        <w:t xml:space="preserve"> </w:t>
      </w:r>
      <w:r w:rsidRPr="00180813">
        <w:rPr>
          <w:rFonts w:ascii="Times New Roman" w:hAnsi="Times New Roman" w:cs="Times New Roman"/>
          <w:sz w:val="24"/>
          <w:szCs w:val="24"/>
          <w:lang w:val="en-GB" w:eastAsia="es-MX"/>
        </w:rPr>
        <w:t>States: What Has Changed since the Early 1980s? </w:t>
      </w:r>
      <w:r w:rsidRPr="00180813">
        <w:rPr>
          <w:rFonts w:ascii="Times New Roman" w:hAnsi="Times New Roman" w:cs="Times New Roman"/>
          <w:i/>
          <w:iCs/>
          <w:sz w:val="24"/>
          <w:szCs w:val="24"/>
          <w:lang w:val="en-GB" w:eastAsia="es-MX"/>
        </w:rPr>
        <w:t>American Economic Review</w:t>
      </w:r>
      <w:r w:rsidRPr="00180813">
        <w:rPr>
          <w:rFonts w:ascii="Times New Roman" w:hAnsi="Times New Roman" w:cs="Times New Roman"/>
          <w:sz w:val="24"/>
          <w:szCs w:val="24"/>
          <w:lang w:val="en-GB" w:eastAsia="es-MX"/>
        </w:rPr>
        <w:t>, 90</w:t>
      </w:r>
      <w:r w:rsidR="00316682">
        <w:rPr>
          <w:rFonts w:ascii="Times New Roman" w:hAnsi="Times New Roman" w:cs="Times New Roman"/>
          <w:sz w:val="24"/>
          <w:szCs w:val="24"/>
          <w:lang w:val="en-GB" w:eastAsia="es-MX"/>
        </w:rPr>
        <w:t>(5)</w:t>
      </w:r>
      <w:r w:rsidRPr="00180813">
        <w:rPr>
          <w:rFonts w:ascii="Times New Roman" w:hAnsi="Times New Roman" w:cs="Times New Roman"/>
          <w:sz w:val="24"/>
          <w:szCs w:val="24"/>
          <w:lang w:val="en-GB" w:eastAsia="es-MX"/>
        </w:rPr>
        <w:t>,</w:t>
      </w:r>
      <w:r w:rsidR="00316682">
        <w:rPr>
          <w:rFonts w:ascii="Times New Roman" w:hAnsi="Times New Roman" w:cs="Times New Roman"/>
          <w:sz w:val="24"/>
          <w:szCs w:val="24"/>
          <w:lang w:val="en-GB" w:eastAsia="es-MX"/>
        </w:rPr>
        <w:t xml:space="preserve"> </w:t>
      </w:r>
      <w:r w:rsidRPr="00180813">
        <w:rPr>
          <w:rFonts w:ascii="Times New Roman" w:hAnsi="Times New Roman" w:cs="Times New Roman"/>
          <w:sz w:val="24"/>
          <w:szCs w:val="24"/>
          <w:lang w:val="en-GB" w:eastAsia="es-MX"/>
        </w:rPr>
        <w:t>1464-76.</w:t>
      </w:r>
      <w:r w:rsidR="007C4867" w:rsidRPr="00180813">
        <w:rPr>
          <w:rFonts w:ascii="Times New Roman" w:hAnsi="Times New Roman" w:cs="Times New Roman"/>
          <w:sz w:val="24"/>
          <w:szCs w:val="24"/>
          <w:lang w:val="en-GB" w:eastAsia="es-MX"/>
        </w:rPr>
        <w:t xml:space="preserve"> </w:t>
      </w:r>
      <w:hyperlink r:id="rId13" w:tgtFrame="_blank" w:history="1">
        <w:r w:rsidR="007C4867" w:rsidRPr="00EF21D7">
          <w:rPr>
            <w:rFonts w:ascii="Times New Roman" w:hAnsi="Times New Roman" w:cs="Times New Roman"/>
            <w:sz w:val="24"/>
            <w:szCs w:val="24"/>
            <w:lang w:val="en-GB"/>
          </w:rPr>
          <w:t>https://doi.org/10.2139/ssrn.938810</w:t>
        </w:r>
      </w:hyperlink>
    </w:p>
    <w:p w14:paraId="5D1C90C1" w14:textId="122ECF74" w:rsidR="00773CAC" w:rsidRPr="00180813" w:rsidRDefault="00773CAC" w:rsidP="00316682">
      <w:pPr>
        <w:pStyle w:val="Sinespaciado"/>
        <w:ind w:left="709" w:hanging="709"/>
        <w:jc w:val="both"/>
        <w:rPr>
          <w:rFonts w:ascii="Times New Roman" w:hAnsi="Times New Roman" w:cs="Times New Roman"/>
          <w:sz w:val="24"/>
          <w:szCs w:val="24"/>
          <w:lang w:val="en-GB"/>
        </w:rPr>
      </w:pPr>
      <w:r w:rsidRPr="00180813">
        <w:rPr>
          <w:rFonts w:ascii="Times New Roman" w:hAnsi="Times New Roman" w:cs="Times New Roman"/>
          <w:sz w:val="24"/>
          <w:szCs w:val="24"/>
          <w:lang w:val="en-GB"/>
        </w:rPr>
        <w:t xml:space="preserve">Miles, D. y Scott, A. (2020). </w:t>
      </w:r>
      <w:r w:rsidRPr="00180813">
        <w:rPr>
          <w:rFonts w:ascii="Times New Roman" w:hAnsi="Times New Roman" w:cs="Times New Roman"/>
          <w:sz w:val="24"/>
          <w:szCs w:val="24"/>
          <w:lang w:val="en-GB" w:eastAsia="es-MX"/>
        </w:rPr>
        <w:t>Will inflation make a comeback after the crisis ends?</w:t>
      </w:r>
      <w:r w:rsidRPr="00180813">
        <w:rPr>
          <w:rFonts w:ascii="Times New Roman" w:hAnsi="Times New Roman" w:cs="Times New Roman"/>
          <w:sz w:val="24"/>
          <w:szCs w:val="24"/>
          <w:lang w:val="en-GB"/>
        </w:rPr>
        <w:t xml:space="preserve"> VOX</w:t>
      </w:r>
      <w:r w:rsidR="00316682">
        <w:rPr>
          <w:rFonts w:ascii="Times New Roman" w:hAnsi="Times New Roman" w:cs="Times New Roman"/>
          <w:sz w:val="24"/>
          <w:szCs w:val="24"/>
          <w:lang w:val="en-GB"/>
        </w:rPr>
        <w:t xml:space="preserve"> </w:t>
      </w:r>
      <w:r w:rsidRPr="00180813">
        <w:rPr>
          <w:rFonts w:ascii="Times New Roman" w:hAnsi="Times New Roman" w:cs="Times New Roman"/>
          <w:sz w:val="24"/>
          <w:szCs w:val="24"/>
          <w:lang w:val="en-GB"/>
        </w:rPr>
        <w:t>EU,</w:t>
      </w:r>
      <w:r w:rsidRPr="00180813">
        <w:rPr>
          <w:rFonts w:ascii="Times New Roman" w:hAnsi="Times New Roman" w:cs="Times New Roman"/>
          <w:sz w:val="24"/>
          <w:szCs w:val="24"/>
          <w:lang w:val="en-GB" w:eastAsia="es-MX"/>
        </w:rPr>
        <w:t xml:space="preserve"> </w:t>
      </w:r>
      <w:r w:rsidRPr="00180813">
        <w:rPr>
          <w:rFonts w:ascii="Times New Roman" w:hAnsi="Times New Roman" w:cs="Times New Roman"/>
          <w:sz w:val="24"/>
          <w:szCs w:val="24"/>
          <w:bdr w:val="none" w:sz="0" w:space="0" w:color="auto" w:frame="1"/>
          <w:lang w:val="en-GB" w:eastAsia="es-MX"/>
        </w:rPr>
        <w:t xml:space="preserve">04 de </w:t>
      </w:r>
      <w:proofErr w:type="spellStart"/>
      <w:r w:rsidRPr="00180813">
        <w:rPr>
          <w:rFonts w:ascii="Times New Roman" w:hAnsi="Times New Roman" w:cs="Times New Roman"/>
          <w:sz w:val="24"/>
          <w:szCs w:val="24"/>
          <w:bdr w:val="none" w:sz="0" w:space="0" w:color="auto" w:frame="1"/>
          <w:lang w:val="en-GB" w:eastAsia="es-MX"/>
        </w:rPr>
        <w:t>abril</w:t>
      </w:r>
      <w:proofErr w:type="spellEnd"/>
      <w:r w:rsidRPr="00180813">
        <w:rPr>
          <w:rFonts w:ascii="Times New Roman" w:hAnsi="Times New Roman" w:cs="Times New Roman"/>
          <w:sz w:val="24"/>
          <w:szCs w:val="24"/>
          <w:bdr w:val="none" w:sz="0" w:space="0" w:color="auto" w:frame="1"/>
          <w:lang w:val="en-GB" w:eastAsia="es-MX"/>
        </w:rPr>
        <w:t>.</w:t>
      </w:r>
    </w:p>
    <w:p w14:paraId="2BEA36D9" w14:textId="4448D7E0" w:rsidR="00773CAC" w:rsidRPr="00180813" w:rsidRDefault="00773CAC" w:rsidP="00316682">
      <w:pPr>
        <w:pStyle w:val="Sinespaciado"/>
        <w:ind w:left="709" w:hanging="709"/>
        <w:jc w:val="both"/>
        <w:rPr>
          <w:rFonts w:ascii="Times New Roman" w:hAnsi="Times New Roman" w:cs="Times New Roman"/>
          <w:sz w:val="24"/>
          <w:szCs w:val="24"/>
          <w:lang w:val="en-US"/>
        </w:rPr>
      </w:pPr>
      <w:r w:rsidRPr="00180813">
        <w:rPr>
          <w:rFonts w:ascii="Times New Roman" w:hAnsi="Times New Roman" w:cs="Times New Roman"/>
          <w:sz w:val="24"/>
          <w:szCs w:val="24"/>
          <w:lang w:val="en-GB"/>
        </w:rPr>
        <w:t xml:space="preserve">Minsky, H. P. (1992). </w:t>
      </w:r>
      <w:r w:rsidRPr="00180813">
        <w:rPr>
          <w:rFonts w:ascii="Times New Roman" w:hAnsi="Times New Roman" w:cs="Times New Roman"/>
          <w:sz w:val="24"/>
          <w:szCs w:val="24"/>
          <w:lang w:val="en-US"/>
        </w:rPr>
        <w:t>The Financial Instability Hypothesis</w:t>
      </w:r>
      <w:r w:rsidR="00316682">
        <w:rPr>
          <w:rFonts w:ascii="Times New Roman" w:hAnsi="Times New Roman" w:cs="Times New Roman"/>
          <w:sz w:val="24"/>
          <w:szCs w:val="24"/>
          <w:lang w:val="en-US"/>
        </w:rPr>
        <w:t xml:space="preserve">. </w:t>
      </w:r>
      <w:r w:rsidR="00316682" w:rsidRPr="00316682">
        <w:rPr>
          <w:rFonts w:ascii="Times New Roman" w:hAnsi="Times New Roman" w:cs="Times New Roman"/>
          <w:i/>
          <w:iCs/>
          <w:sz w:val="24"/>
          <w:szCs w:val="24"/>
          <w:lang w:val="en-US"/>
        </w:rPr>
        <w:t>The Jerome Levy Economics Institute Working Paper No. 74</w:t>
      </w:r>
      <w:r w:rsidRPr="00180813">
        <w:rPr>
          <w:rFonts w:ascii="Times New Roman" w:hAnsi="Times New Roman" w:cs="Times New Roman"/>
          <w:sz w:val="24"/>
          <w:szCs w:val="24"/>
          <w:lang w:val="en-US"/>
        </w:rPr>
        <w:t>,</w:t>
      </w:r>
      <w:r w:rsidR="00316682">
        <w:rPr>
          <w:rFonts w:ascii="Times New Roman" w:hAnsi="Times New Roman" w:cs="Times New Roman"/>
          <w:sz w:val="24"/>
          <w:szCs w:val="24"/>
          <w:lang w:val="en-US"/>
        </w:rPr>
        <w:t xml:space="preserve"> 1-9.</w:t>
      </w:r>
      <w:r w:rsidRPr="00180813">
        <w:rPr>
          <w:rFonts w:ascii="Times New Roman" w:hAnsi="Times New Roman" w:cs="Times New Roman"/>
          <w:sz w:val="24"/>
          <w:szCs w:val="24"/>
          <w:lang w:val="en-US"/>
        </w:rPr>
        <w:t xml:space="preserve"> </w:t>
      </w:r>
      <w:r w:rsidR="00316682" w:rsidRPr="00316682">
        <w:rPr>
          <w:rFonts w:ascii="Times New Roman" w:hAnsi="Times New Roman" w:cs="Times New Roman"/>
          <w:sz w:val="24"/>
          <w:szCs w:val="24"/>
          <w:lang w:val="en-US"/>
        </w:rPr>
        <w:t>https://dx.doi.org/10.2139/ssrn.161024</w:t>
      </w:r>
    </w:p>
    <w:p w14:paraId="5346EA8A" w14:textId="0C138BC4" w:rsidR="00773CAC" w:rsidRPr="00180813" w:rsidRDefault="00180438" w:rsidP="00180438">
      <w:pPr>
        <w:pStyle w:val="Sinespaciado"/>
        <w:ind w:left="709" w:hanging="709"/>
        <w:jc w:val="both"/>
        <w:rPr>
          <w:rFonts w:ascii="Times New Roman" w:hAnsi="Times New Roman" w:cs="Times New Roman"/>
          <w:sz w:val="24"/>
          <w:szCs w:val="24"/>
          <w:lang w:val="en-US"/>
        </w:rPr>
      </w:pPr>
      <w:r w:rsidRPr="00180813">
        <w:rPr>
          <w:rFonts w:ascii="Times New Roman" w:hAnsi="Times New Roman" w:cs="Times New Roman"/>
          <w:sz w:val="24"/>
          <w:szCs w:val="24"/>
          <w:lang w:val="en-GB"/>
        </w:rPr>
        <w:t xml:space="preserve">Minsky, H. P. </w:t>
      </w:r>
      <w:r w:rsidR="00773CAC" w:rsidRPr="00180813">
        <w:rPr>
          <w:rFonts w:ascii="Times New Roman" w:hAnsi="Times New Roman" w:cs="Times New Roman"/>
          <w:sz w:val="24"/>
          <w:szCs w:val="24"/>
          <w:lang w:val="en-US"/>
        </w:rPr>
        <w:t xml:space="preserve">(1986). </w:t>
      </w:r>
      <w:r w:rsidR="00773CAC" w:rsidRPr="00180813">
        <w:rPr>
          <w:rFonts w:ascii="Times New Roman" w:hAnsi="Times New Roman" w:cs="Times New Roman"/>
          <w:i/>
          <w:iCs/>
          <w:sz w:val="24"/>
          <w:szCs w:val="24"/>
          <w:lang w:val="en-US"/>
        </w:rPr>
        <w:t>Stabilizing an Unstable Economy.</w:t>
      </w:r>
      <w:r w:rsidR="00773CAC" w:rsidRPr="00180813">
        <w:rPr>
          <w:rFonts w:ascii="Times New Roman" w:hAnsi="Times New Roman" w:cs="Times New Roman"/>
          <w:sz w:val="24"/>
          <w:szCs w:val="24"/>
          <w:lang w:val="en-US"/>
        </w:rPr>
        <w:t xml:space="preserve"> New Haven, CT: Yale University Press.</w:t>
      </w:r>
    </w:p>
    <w:p w14:paraId="62A08374" w14:textId="6AB81D5C" w:rsidR="00773CAC" w:rsidRPr="00180813" w:rsidRDefault="00773CAC" w:rsidP="00B33F22">
      <w:pPr>
        <w:pStyle w:val="Sinespaciado"/>
        <w:ind w:left="709" w:hanging="709"/>
        <w:jc w:val="both"/>
        <w:rPr>
          <w:rFonts w:ascii="Times New Roman" w:hAnsi="Times New Roman" w:cs="Times New Roman"/>
          <w:sz w:val="24"/>
          <w:szCs w:val="24"/>
          <w:lang w:val="en-US"/>
        </w:rPr>
      </w:pPr>
      <w:proofErr w:type="spellStart"/>
      <w:r w:rsidRPr="00180813">
        <w:rPr>
          <w:rFonts w:ascii="Times New Roman" w:hAnsi="Times New Roman" w:cs="Times New Roman"/>
          <w:sz w:val="24"/>
          <w:szCs w:val="24"/>
          <w:lang w:val="en-GB"/>
        </w:rPr>
        <w:t>Nikiforos</w:t>
      </w:r>
      <w:proofErr w:type="spellEnd"/>
      <w:r w:rsidRPr="00180813">
        <w:rPr>
          <w:rFonts w:ascii="Times New Roman" w:hAnsi="Times New Roman" w:cs="Times New Roman"/>
          <w:sz w:val="24"/>
          <w:szCs w:val="24"/>
          <w:lang w:val="en-GB"/>
        </w:rPr>
        <w:t xml:space="preserve">, M. (2020). </w:t>
      </w:r>
      <w:r w:rsidRPr="00180813">
        <w:rPr>
          <w:rFonts w:ascii="Times New Roman" w:hAnsi="Times New Roman" w:cs="Times New Roman"/>
          <w:sz w:val="24"/>
          <w:szCs w:val="24"/>
          <w:lang w:val="en-US"/>
        </w:rPr>
        <w:t xml:space="preserve">When two </w:t>
      </w:r>
      <w:proofErr w:type="spellStart"/>
      <w:r w:rsidRPr="00180813">
        <w:rPr>
          <w:rFonts w:ascii="Times New Roman" w:hAnsi="Times New Roman" w:cs="Times New Roman"/>
          <w:sz w:val="24"/>
          <w:szCs w:val="24"/>
          <w:lang w:val="en-US"/>
        </w:rPr>
        <w:t>minskyan</w:t>
      </w:r>
      <w:proofErr w:type="spellEnd"/>
      <w:r w:rsidRPr="00180813">
        <w:rPr>
          <w:rFonts w:ascii="Times New Roman" w:hAnsi="Times New Roman" w:cs="Times New Roman"/>
          <w:sz w:val="24"/>
          <w:szCs w:val="24"/>
          <w:lang w:val="en-US"/>
        </w:rPr>
        <w:t xml:space="preserve"> processes meet a large shock: the economic</w:t>
      </w:r>
      <w:r w:rsidR="00316682">
        <w:rPr>
          <w:rFonts w:ascii="Times New Roman" w:hAnsi="Times New Roman" w:cs="Times New Roman"/>
          <w:sz w:val="24"/>
          <w:szCs w:val="24"/>
          <w:lang w:val="en-US"/>
        </w:rPr>
        <w:t xml:space="preserve"> </w:t>
      </w:r>
      <w:r w:rsidRPr="00180813">
        <w:rPr>
          <w:rFonts w:ascii="Times New Roman" w:hAnsi="Times New Roman" w:cs="Times New Roman"/>
          <w:sz w:val="24"/>
          <w:szCs w:val="24"/>
          <w:lang w:val="en-US"/>
        </w:rPr>
        <w:t>implications of the pandemic</w:t>
      </w:r>
      <w:r w:rsidR="00B33F22">
        <w:rPr>
          <w:rFonts w:ascii="Times New Roman" w:hAnsi="Times New Roman" w:cs="Times New Roman"/>
          <w:sz w:val="24"/>
          <w:szCs w:val="24"/>
          <w:lang w:val="en-US"/>
        </w:rPr>
        <w:t>.</w:t>
      </w:r>
      <w:r w:rsidRPr="00180813">
        <w:rPr>
          <w:rFonts w:ascii="Times New Roman" w:hAnsi="Times New Roman" w:cs="Times New Roman"/>
          <w:sz w:val="24"/>
          <w:szCs w:val="24"/>
          <w:lang w:val="en-US"/>
        </w:rPr>
        <w:t xml:space="preserve"> </w:t>
      </w:r>
      <w:r w:rsidR="00B33F22" w:rsidRPr="00180813">
        <w:rPr>
          <w:rFonts w:ascii="Times New Roman" w:hAnsi="Times New Roman" w:cs="Times New Roman"/>
          <w:i/>
          <w:iCs/>
          <w:sz w:val="24"/>
          <w:szCs w:val="24"/>
          <w:lang w:val="en-US"/>
        </w:rPr>
        <w:t xml:space="preserve">Levy Economics Institute of Bard </w:t>
      </w:r>
      <w:r w:rsidR="00B33F22" w:rsidRPr="00B33F22">
        <w:rPr>
          <w:rFonts w:ascii="Times New Roman" w:hAnsi="Times New Roman" w:cs="Times New Roman"/>
          <w:i/>
          <w:iCs/>
          <w:sz w:val="24"/>
          <w:szCs w:val="24"/>
          <w:lang w:val="en-US"/>
        </w:rPr>
        <w:t>College</w:t>
      </w:r>
      <w:r w:rsidRPr="00B33F22">
        <w:rPr>
          <w:rFonts w:ascii="Times New Roman" w:hAnsi="Times New Roman" w:cs="Times New Roman"/>
          <w:i/>
          <w:iCs/>
          <w:sz w:val="24"/>
          <w:szCs w:val="24"/>
          <w:lang w:val="en-US"/>
        </w:rPr>
        <w:t xml:space="preserve"> </w:t>
      </w:r>
      <w:r w:rsidR="00B33F22" w:rsidRPr="00B33F22">
        <w:rPr>
          <w:rFonts w:ascii="Times New Roman" w:hAnsi="Times New Roman" w:cs="Times New Roman"/>
          <w:i/>
          <w:iCs/>
          <w:sz w:val="24"/>
          <w:szCs w:val="24"/>
          <w:lang w:val="en-US"/>
        </w:rPr>
        <w:t>Policy Note</w:t>
      </w:r>
      <w:r w:rsidR="00B33F22" w:rsidRPr="00B33F22">
        <w:rPr>
          <w:rFonts w:ascii="Times New Roman" w:hAnsi="Times New Roman" w:cs="Times New Roman"/>
          <w:sz w:val="24"/>
          <w:szCs w:val="24"/>
          <w:lang w:val="en-US"/>
        </w:rPr>
        <w:t xml:space="preserve"> </w:t>
      </w:r>
      <w:r w:rsidR="00B33F22">
        <w:rPr>
          <w:rFonts w:ascii="Times New Roman" w:hAnsi="Times New Roman" w:cs="Times New Roman"/>
          <w:sz w:val="24"/>
          <w:szCs w:val="24"/>
          <w:lang w:val="en-US"/>
        </w:rPr>
        <w:t xml:space="preserve">2020/1, </w:t>
      </w:r>
      <w:r w:rsidRPr="00180813">
        <w:rPr>
          <w:rFonts w:ascii="Times New Roman" w:hAnsi="Times New Roman" w:cs="Times New Roman"/>
          <w:sz w:val="24"/>
          <w:szCs w:val="24"/>
          <w:lang w:val="en-US"/>
        </w:rPr>
        <w:t>1-6.</w:t>
      </w:r>
    </w:p>
    <w:p w14:paraId="42DFD261" w14:textId="4410CE50" w:rsidR="00773CAC" w:rsidRPr="00180813" w:rsidRDefault="00773CAC" w:rsidP="00B33F22">
      <w:pPr>
        <w:pStyle w:val="Sinespaciado"/>
        <w:ind w:left="709" w:hanging="709"/>
        <w:jc w:val="both"/>
        <w:rPr>
          <w:rFonts w:ascii="Times New Roman" w:eastAsiaTheme="minorEastAsia" w:hAnsi="Times New Roman" w:cs="Times New Roman"/>
          <w:sz w:val="24"/>
          <w:szCs w:val="24"/>
          <w:lang w:val="en-GB"/>
        </w:rPr>
      </w:pPr>
      <w:r w:rsidRPr="00180813">
        <w:rPr>
          <w:rFonts w:ascii="Times New Roman" w:eastAsiaTheme="minorEastAsia" w:hAnsi="Times New Roman" w:cs="Times New Roman"/>
          <w:sz w:val="24"/>
          <w:szCs w:val="24"/>
          <w:lang w:val="en-GB"/>
        </w:rPr>
        <w:t xml:space="preserve">Phelps, E. S. (1967). </w:t>
      </w:r>
      <w:r w:rsidR="00B33F22" w:rsidRPr="00B33F22">
        <w:rPr>
          <w:rFonts w:ascii="Times New Roman" w:eastAsiaTheme="minorEastAsia" w:hAnsi="Times New Roman" w:cs="Times New Roman"/>
          <w:sz w:val="24"/>
          <w:szCs w:val="24"/>
          <w:lang w:val="en-GB"/>
        </w:rPr>
        <w:t xml:space="preserve">Phillips </w:t>
      </w:r>
      <w:r w:rsidR="00B33F22">
        <w:rPr>
          <w:rFonts w:ascii="Times New Roman" w:eastAsiaTheme="minorEastAsia" w:hAnsi="Times New Roman" w:cs="Times New Roman"/>
          <w:sz w:val="24"/>
          <w:szCs w:val="24"/>
          <w:lang w:val="en-GB"/>
        </w:rPr>
        <w:t>c</w:t>
      </w:r>
      <w:r w:rsidR="00B33F22" w:rsidRPr="00B33F22">
        <w:rPr>
          <w:rFonts w:ascii="Times New Roman" w:eastAsiaTheme="minorEastAsia" w:hAnsi="Times New Roman" w:cs="Times New Roman"/>
          <w:sz w:val="24"/>
          <w:szCs w:val="24"/>
          <w:lang w:val="en-GB"/>
        </w:rPr>
        <w:t>urves</w:t>
      </w:r>
      <w:r w:rsidRPr="00180813">
        <w:rPr>
          <w:rFonts w:ascii="Times New Roman" w:eastAsiaTheme="minorEastAsia" w:hAnsi="Times New Roman" w:cs="Times New Roman"/>
          <w:sz w:val="24"/>
          <w:szCs w:val="24"/>
          <w:lang w:val="en-GB"/>
        </w:rPr>
        <w:t>, expectations of inflation, and optimal unemployment over time</w:t>
      </w:r>
      <w:r w:rsidR="00B33F22">
        <w:rPr>
          <w:rFonts w:ascii="Times New Roman" w:eastAsiaTheme="minorEastAsia" w:hAnsi="Times New Roman" w:cs="Times New Roman"/>
          <w:sz w:val="24"/>
          <w:szCs w:val="24"/>
          <w:lang w:val="en-GB"/>
        </w:rPr>
        <w:t xml:space="preserve">. </w:t>
      </w:r>
      <w:proofErr w:type="spellStart"/>
      <w:r w:rsidRPr="00180813">
        <w:rPr>
          <w:rFonts w:ascii="Times New Roman" w:eastAsiaTheme="minorEastAsia" w:hAnsi="Times New Roman" w:cs="Times New Roman"/>
          <w:i/>
          <w:iCs/>
          <w:sz w:val="24"/>
          <w:szCs w:val="24"/>
          <w:lang w:val="en-GB"/>
        </w:rPr>
        <w:t>Economica</w:t>
      </w:r>
      <w:proofErr w:type="spellEnd"/>
      <w:r w:rsidRPr="00180813">
        <w:rPr>
          <w:rFonts w:ascii="Times New Roman" w:eastAsiaTheme="minorEastAsia" w:hAnsi="Times New Roman" w:cs="Times New Roman"/>
          <w:sz w:val="24"/>
          <w:szCs w:val="24"/>
          <w:lang w:val="en-GB"/>
        </w:rPr>
        <w:t>, 34(</w:t>
      </w:r>
      <w:r w:rsidR="00B33F22">
        <w:rPr>
          <w:rFonts w:ascii="Times New Roman" w:eastAsiaTheme="minorEastAsia" w:hAnsi="Times New Roman" w:cs="Times New Roman"/>
          <w:sz w:val="24"/>
          <w:szCs w:val="24"/>
          <w:lang w:val="en-GB"/>
        </w:rPr>
        <w:t>135</w:t>
      </w:r>
      <w:r w:rsidRPr="00180813">
        <w:rPr>
          <w:rFonts w:ascii="Times New Roman" w:eastAsiaTheme="minorEastAsia" w:hAnsi="Times New Roman" w:cs="Times New Roman"/>
          <w:sz w:val="24"/>
          <w:szCs w:val="24"/>
          <w:lang w:val="en-GB"/>
        </w:rPr>
        <w:t>), 254-281.</w:t>
      </w:r>
      <w:r w:rsidR="004766F7" w:rsidRPr="00180813">
        <w:rPr>
          <w:rFonts w:ascii="Times New Roman" w:eastAsiaTheme="minorEastAsia" w:hAnsi="Times New Roman" w:cs="Times New Roman"/>
          <w:sz w:val="24"/>
          <w:szCs w:val="24"/>
          <w:lang w:val="en-GB"/>
        </w:rPr>
        <w:t xml:space="preserve"> </w:t>
      </w:r>
      <w:hyperlink r:id="rId14" w:tgtFrame="_blank" w:history="1">
        <w:r w:rsidR="004766F7" w:rsidRPr="00EF21D7">
          <w:rPr>
            <w:rFonts w:ascii="Times New Roman" w:hAnsi="Times New Roman" w:cs="Times New Roman"/>
            <w:sz w:val="24"/>
            <w:szCs w:val="24"/>
            <w:lang w:val="en-GB"/>
          </w:rPr>
          <w:t>https://doi.org/10.2307/2552025</w:t>
        </w:r>
      </w:hyperlink>
    </w:p>
    <w:p w14:paraId="1F96B9E4" w14:textId="17D96EB3" w:rsidR="00773CAC" w:rsidRPr="00180813" w:rsidRDefault="00773CAC" w:rsidP="00B33F22">
      <w:pPr>
        <w:pStyle w:val="Sinespaciado"/>
        <w:ind w:left="709" w:hanging="709"/>
        <w:jc w:val="both"/>
        <w:rPr>
          <w:rFonts w:ascii="Times New Roman" w:eastAsiaTheme="minorEastAsia" w:hAnsi="Times New Roman" w:cs="Times New Roman"/>
          <w:sz w:val="24"/>
          <w:szCs w:val="24"/>
          <w:lang w:val="en-GB"/>
        </w:rPr>
      </w:pPr>
      <w:r w:rsidRPr="00180813">
        <w:rPr>
          <w:rFonts w:ascii="Times New Roman" w:eastAsiaTheme="minorEastAsia" w:hAnsi="Times New Roman" w:cs="Times New Roman"/>
          <w:sz w:val="24"/>
          <w:szCs w:val="24"/>
          <w:lang w:val="en-GB"/>
        </w:rPr>
        <w:t xml:space="preserve">Phelps, E. S. (1968). Money-wage dynamics and </w:t>
      </w:r>
      <w:proofErr w:type="spellStart"/>
      <w:r w:rsidRPr="00180813">
        <w:rPr>
          <w:rFonts w:ascii="Times New Roman" w:eastAsiaTheme="minorEastAsia" w:hAnsi="Times New Roman" w:cs="Times New Roman"/>
          <w:sz w:val="24"/>
          <w:szCs w:val="24"/>
          <w:lang w:val="en-GB"/>
        </w:rPr>
        <w:t>labor</w:t>
      </w:r>
      <w:proofErr w:type="spellEnd"/>
      <w:r w:rsidRPr="00180813">
        <w:rPr>
          <w:rFonts w:ascii="Times New Roman" w:eastAsiaTheme="minorEastAsia" w:hAnsi="Times New Roman" w:cs="Times New Roman"/>
          <w:sz w:val="24"/>
          <w:szCs w:val="24"/>
          <w:lang w:val="en-GB"/>
        </w:rPr>
        <w:t xml:space="preserve">-market equilibrium, </w:t>
      </w:r>
      <w:r w:rsidRPr="00180813">
        <w:rPr>
          <w:rFonts w:ascii="Times New Roman" w:eastAsiaTheme="minorEastAsia" w:hAnsi="Times New Roman" w:cs="Times New Roman"/>
          <w:i/>
          <w:iCs/>
          <w:sz w:val="24"/>
          <w:szCs w:val="24"/>
          <w:lang w:val="en-GB"/>
        </w:rPr>
        <w:t>Journal of</w:t>
      </w:r>
      <w:r w:rsidR="00B33F22">
        <w:rPr>
          <w:rFonts w:ascii="Times New Roman" w:eastAsiaTheme="minorEastAsia" w:hAnsi="Times New Roman" w:cs="Times New Roman"/>
          <w:i/>
          <w:iCs/>
          <w:sz w:val="24"/>
          <w:szCs w:val="24"/>
          <w:lang w:val="en-GB"/>
        </w:rPr>
        <w:t xml:space="preserve"> </w:t>
      </w:r>
      <w:r w:rsidRPr="00180813">
        <w:rPr>
          <w:rFonts w:ascii="Times New Roman" w:eastAsiaTheme="minorEastAsia" w:hAnsi="Times New Roman" w:cs="Times New Roman"/>
          <w:i/>
          <w:iCs/>
          <w:sz w:val="24"/>
          <w:szCs w:val="24"/>
          <w:lang w:val="en-GB"/>
        </w:rPr>
        <w:t>Political Economy</w:t>
      </w:r>
      <w:r w:rsidRPr="00180813">
        <w:rPr>
          <w:rFonts w:ascii="Times New Roman" w:eastAsiaTheme="minorEastAsia" w:hAnsi="Times New Roman" w:cs="Times New Roman"/>
          <w:sz w:val="24"/>
          <w:szCs w:val="24"/>
          <w:lang w:val="en-GB"/>
        </w:rPr>
        <w:t>, 76 (</w:t>
      </w:r>
      <w:r w:rsidR="00B33F22">
        <w:rPr>
          <w:rFonts w:ascii="Times New Roman" w:eastAsiaTheme="minorEastAsia" w:hAnsi="Times New Roman" w:cs="Times New Roman"/>
          <w:sz w:val="24"/>
          <w:szCs w:val="24"/>
          <w:lang w:val="en-GB"/>
        </w:rPr>
        <w:t>4</w:t>
      </w:r>
      <w:r w:rsidRPr="00180813">
        <w:rPr>
          <w:rFonts w:ascii="Times New Roman" w:eastAsiaTheme="minorEastAsia" w:hAnsi="Times New Roman" w:cs="Times New Roman"/>
          <w:sz w:val="24"/>
          <w:szCs w:val="24"/>
          <w:lang w:val="en-GB"/>
        </w:rPr>
        <w:t>), 678-711.</w:t>
      </w:r>
      <w:r w:rsidR="007D56DD">
        <w:rPr>
          <w:rFonts w:ascii="Times New Roman" w:eastAsiaTheme="minorEastAsia" w:hAnsi="Times New Roman" w:cs="Times New Roman"/>
          <w:sz w:val="24"/>
          <w:szCs w:val="24"/>
          <w:lang w:val="en-GB"/>
        </w:rPr>
        <w:t xml:space="preserve"> </w:t>
      </w:r>
      <w:r w:rsidR="007D56DD" w:rsidRPr="007D56DD">
        <w:rPr>
          <w:rFonts w:ascii="Times New Roman" w:eastAsiaTheme="minorEastAsia" w:hAnsi="Times New Roman" w:cs="Times New Roman"/>
          <w:sz w:val="24"/>
          <w:szCs w:val="24"/>
          <w:lang w:val="en-GB"/>
        </w:rPr>
        <w:t>https://doi.org/10.1086/259438</w:t>
      </w:r>
    </w:p>
    <w:p w14:paraId="746633D2" w14:textId="0D01080C" w:rsidR="00773CAC" w:rsidRPr="00180813" w:rsidRDefault="00773CAC" w:rsidP="007D56DD">
      <w:pPr>
        <w:pStyle w:val="Sinespaciado"/>
        <w:ind w:left="709" w:hanging="709"/>
        <w:jc w:val="both"/>
        <w:rPr>
          <w:rFonts w:ascii="Times New Roman" w:eastAsiaTheme="minorEastAsia" w:hAnsi="Times New Roman" w:cs="Times New Roman"/>
          <w:sz w:val="24"/>
          <w:szCs w:val="24"/>
          <w:lang w:val="en-GB"/>
        </w:rPr>
      </w:pPr>
      <w:r w:rsidRPr="00180813">
        <w:rPr>
          <w:rFonts w:ascii="Times New Roman" w:eastAsiaTheme="minorEastAsia" w:hAnsi="Times New Roman" w:cs="Times New Roman"/>
          <w:sz w:val="24"/>
          <w:szCs w:val="24"/>
        </w:rPr>
        <w:t xml:space="preserve">Samuelson, P. A. y Solow, R. M. (1960). </w:t>
      </w:r>
      <w:r w:rsidRPr="00180813">
        <w:rPr>
          <w:rFonts w:ascii="Times New Roman" w:eastAsiaTheme="minorEastAsia" w:hAnsi="Times New Roman" w:cs="Times New Roman"/>
          <w:sz w:val="24"/>
          <w:szCs w:val="24"/>
          <w:lang w:val="en-GB"/>
        </w:rPr>
        <w:t>Analytical aspects of anti-inflation policy</w:t>
      </w:r>
      <w:r w:rsidR="007D56DD">
        <w:rPr>
          <w:rFonts w:ascii="Times New Roman" w:eastAsiaTheme="minorEastAsia" w:hAnsi="Times New Roman" w:cs="Times New Roman"/>
          <w:sz w:val="24"/>
          <w:szCs w:val="24"/>
          <w:lang w:val="en-GB"/>
        </w:rPr>
        <w:t xml:space="preserve">. </w:t>
      </w:r>
      <w:r w:rsidRPr="00180813">
        <w:rPr>
          <w:rFonts w:ascii="Times New Roman" w:eastAsiaTheme="minorEastAsia" w:hAnsi="Times New Roman" w:cs="Times New Roman"/>
          <w:i/>
          <w:iCs/>
          <w:sz w:val="24"/>
          <w:szCs w:val="24"/>
          <w:lang w:val="en-GB"/>
        </w:rPr>
        <w:t>American Economic Review</w:t>
      </w:r>
      <w:r w:rsidRPr="00180813">
        <w:rPr>
          <w:rFonts w:ascii="Times New Roman" w:eastAsiaTheme="minorEastAsia" w:hAnsi="Times New Roman" w:cs="Times New Roman"/>
          <w:sz w:val="24"/>
          <w:szCs w:val="24"/>
          <w:lang w:val="en-GB"/>
        </w:rPr>
        <w:t>, 50(</w:t>
      </w:r>
      <w:r w:rsidR="007D56DD">
        <w:rPr>
          <w:rFonts w:ascii="Times New Roman" w:eastAsiaTheme="minorEastAsia" w:hAnsi="Times New Roman" w:cs="Times New Roman"/>
          <w:sz w:val="24"/>
          <w:szCs w:val="24"/>
          <w:lang w:val="en-GB"/>
        </w:rPr>
        <w:t>2</w:t>
      </w:r>
      <w:r w:rsidRPr="00180813">
        <w:rPr>
          <w:rFonts w:ascii="Times New Roman" w:eastAsiaTheme="minorEastAsia" w:hAnsi="Times New Roman" w:cs="Times New Roman"/>
          <w:sz w:val="24"/>
          <w:szCs w:val="24"/>
          <w:lang w:val="en-GB"/>
        </w:rPr>
        <w:t>), 177-194.</w:t>
      </w:r>
      <w:r w:rsidR="007D56DD">
        <w:rPr>
          <w:rFonts w:ascii="Times New Roman" w:eastAsiaTheme="minorEastAsia" w:hAnsi="Times New Roman" w:cs="Times New Roman"/>
          <w:sz w:val="24"/>
          <w:szCs w:val="24"/>
          <w:lang w:val="en-GB"/>
        </w:rPr>
        <w:t xml:space="preserve"> </w:t>
      </w:r>
    </w:p>
    <w:p w14:paraId="360271E7" w14:textId="258E1784" w:rsidR="00180813" w:rsidRPr="00180813" w:rsidRDefault="00180813" w:rsidP="007D56DD">
      <w:pPr>
        <w:pStyle w:val="Sinespaciado"/>
        <w:ind w:left="709" w:hanging="709"/>
        <w:jc w:val="both"/>
        <w:rPr>
          <w:rFonts w:ascii="Times New Roman" w:eastAsiaTheme="minorEastAsia" w:hAnsi="Times New Roman" w:cs="Times New Roman"/>
          <w:sz w:val="24"/>
          <w:szCs w:val="24"/>
          <w:lang w:val="en-GB"/>
        </w:rPr>
      </w:pPr>
      <w:r w:rsidRPr="00180813">
        <w:rPr>
          <w:rFonts w:ascii="Times New Roman" w:eastAsiaTheme="minorEastAsia" w:hAnsi="Times New Roman" w:cs="Times New Roman"/>
          <w:sz w:val="24"/>
          <w:szCs w:val="24"/>
          <w:lang w:val="en-GB"/>
        </w:rPr>
        <w:t>Stock, J</w:t>
      </w:r>
      <w:r w:rsidR="007D56DD">
        <w:rPr>
          <w:rFonts w:ascii="Times New Roman" w:eastAsiaTheme="minorEastAsia" w:hAnsi="Times New Roman" w:cs="Times New Roman"/>
          <w:sz w:val="24"/>
          <w:szCs w:val="24"/>
          <w:lang w:val="en-GB"/>
        </w:rPr>
        <w:t>.</w:t>
      </w:r>
      <w:r w:rsidRPr="00180813">
        <w:rPr>
          <w:rFonts w:ascii="Times New Roman" w:eastAsiaTheme="minorEastAsia" w:hAnsi="Times New Roman" w:cs="Times New Roman"/>
          <w:sz w:val="24"/>
          <w:szCs w:val="24"/>
          <w:lang w:val="en-GB"/>
        </w:rPr>
        <w:t xml:space="preserve"> y Watson</w:t>
      </w:r>
      <w:r w:rsidR="007D56DD">
        <w:rPr>
          <w:rFonts w:ascii="Times New Roman" w:eastAsiaTheme="minorEastAsia" w:hAnsi="Times New Roman" w:cs="Times New Roman"/>
          <w:sz w:val="24"/>
          <w:szCs w:val="24"/>
          <w:lang w:val="en-GB"/>
        </w:rPr>
        <w:t>, M.</w:t>
      </w:r>
      <w:r w:rsidRPr="00180813">
        <w:rPr>
          <w:rFonts w:ascii="Times New Roman" w:eastAsiaTheme="minorEastAsia" w:hAnsi="Times New Roman" w:cs="Times New Roman"/>
          <w:sz w:val="24"/>
          <w:szCs w:val="24"/>
          <w:lang w:val="en-GB"/>
        </w:rPr>
        <w:t xml:space="preserve"> (2003). </w:t>
      </w:r>
      <w:r w:rsidR="007D56DD">
        <w:rPr>
          <w:rFonts w:ascii="Times New Roman" w:eastAsiaTheme="minorEastAsia" w:hAnsi="Times New Roman" w:cs="Times New Roman"/>
          <w:sz w:val="24"/>
          <w:szCs w:val="24"/>
          <w:lang w:val="en-GB"/>
        </w:rPr>
        <w:t>“</w:t>
      </w:r>
      <w:r w:rsidRPr="00180813">
        <w:rPr>
          <w:rFonts w:ascii="Times New Roman" w:eastAsiaTheme="minorEastAsia" w:hAnsi="Times New Roman" w:cs="Times New Roman"/>
          <w:sz w:val="24"/>
          <w:szCs w:val="24"/>
          <w:lang w:val="en-GB"/>
        </w:rPr>
        <w:t>Has the Business Cycle Changed? Evidence and Explanations,</w:t>
      </w:r>
      <w:r w:rsidR="007D56DD">
        <w:rPr>
          <w:rFonts w:ascii="Times New Roman" w:eastAsiaTheme="minorEastAsia" w:hAnsi="Times New Roman" w:cs="Times New Roman"/>
          <w:sz w:val="24"/>
          <w:szCs w:val="24"/>
          <w:lang w:val="en-GB"/>
        </w:rPr>
        <w:t>”</w:t>
      </w:r>
      <w:r w:rsidRPr="00180813">
        <w:rPr>
          <w:rFonts w:ascii="Times New Roman" w:eastAsiaTheme="minorEastAsia" w:hAnsi="Times New Roman" w:cs="Times New Roman"/>
          <w:sz w:val="24"/>
          <w:szCs w:val="24"/>
          <w:lang w:val="en-GB"/>
        </w:rPr>
        <w:t xml:space="preserve"> prepared for the Federal Reserve Bank of Kansas City symposium, "Monetary Policy and Uncertainty," Jackson Hole, Wyoming, August 28-30.</w:t>
      </w:r>
    </w:p>
    <w:p w14:paraId="76CBCFA9" w14:textId="1CF756A6" w:rsidR="00773CAC" w:rsidRPr="00180813" w:rsidRDefault="00773CAC" w:rsidP="007D56DD">
      <w:pPr>
        <w:pStyle w:val="Sinespaciado"/>
        <w:ind w:left="709" w:hanging="709"/>
        <w:jc w:val="both"/>
        <w:rPr>
          <w:rFonts w:ascii="Times New Roman" w:hAnsi="Times New Roman" w:cs="Times New Roman"/>
          <w:sz w:val="24"/>
          <w:szCs w:val="24"/>
          <w:lang w:val="en-US" w:eastAsia="es-MX"/>
        </w:rPr>
      </w:pPr>
      <w:r w:rsidRPr="00180813">
        <w:rPr>
          <w:rFonts w:ascii="Times New Roman" w:hAnsi="Times New Roman" w:cs="Times New Roman"/>
          <w:sz w:val="24"/>
          <w:szCs w:val="24"/>
          <w:lang w:val="en-US" w:eastAsia="es-MX"/>
        </w:rPr>
        <w:t xml:space="preserve">Taylor, J. (1993). Discretion </w:t>
      </w:r>
      <w:r w:rsidRPr="00180813">
        <w:rPr>
          <w:rFonts w:ascii="Times New Roman" w:hAnsi="Times New Roman" w:cs="Times New Roman"/>
          <w:i/>
          <w:iCs/>
          <w:sz w:val="24"/>
          <w:szCs w:val="24"/>
          <w:lang w:val="en-US" w:eastAsia="es-MX"/>
        </w:rPr>
        <w:t xml:space="preserve">versus </w:t>
      </w:r>
      <w:r w:rsidRPr="00180813">
        <w:rPr>
          <w:rFonts w:ascii="Times New Roman" w:hAnsi="Times New Roman" w:cs="Times New Roman"/>
          <w:sz w:val="24"/>
          <w:szCs w:val="24"/>
          <w:lang w:val="en-US" w:eastAsia="es-MX"/>
        </w:rPr>
        <w:t xml:space="preserve">policy rules in practice. </w:t>
      </w:r>
      <w:r w:rsidRPr="00180813">
        <w:rPr>
          <w:rFonts w:ascii="Times New Roman" w:hAnsi="Times New Roman" w:cs="Times New Roman"/>
          <w:i/>
          <w:iCs/>
          <w:sz w:val="24"/>
          <w:szCs w:val="24"/>
          <w:lang w:val="en-US" w:eastAsia="es-MX"/>
        </w:rPr>
        <w:t>Carnegie- Rochester Conference Series on Public Policy</w:t>
      </w:r>
      <w:r w:rsidRPr="00180813">
        <w:rPr>
          <w:rFonts w:ascii="Times New Roman" w:hAnsi="Times New Roman" w:cs="Times New Roman"/>
          <w:sz w:val="24"/>
          <w:szCs w:val="24"/>
          <w:lang w:val="en-US" w:eastAsia="es-MX"/>
        </w:rPr>
        <w:t xml:space="preserve">, 39 (0), 195-214. </w:t>
      </w:r>
      <w:r w:rsidR="00370AA5" w:rsidRPr="00EF21D7">
        <w:rPr>
          <w:rFonts w:ascii="Times New Roman" w:hAnsi="Times New Roman" w:cs="Times New Roman"/>
          <w:sz w:val="24"/>
          <w:szCs w:val="24"/>
          <w:lang w:val="en-GB"/>
        </w:rPr>
        <w:t>https://doi.org/10.1016/0167-2231(93)90009-l</w:t>
      </w:r>
    </w:p>
    <w:p w14:paraId="03EA8421" w14:textId="6D4C9999" w:rsidR="00773CAC" w:rsidRPr="00180813" w:rsidRDefault="00773CAC" w:rsidP="00CC78DC">
      <w:pPr>
        <w:pStyle w:val="Sinespaciado"/>
        <w:ind w:left="709" w:hanging="709"/>
        <w:jc w:val="both"/>
        <w:rPr>
          <w:rFonts w:ascii="Times New Roman" w:hAnsi="Times New Roman" w:cs="Times New Roman"/>
          <w:sz w:val="24"/>
          <w:szCs w:val="24"/>
          <w:lang w:val="en-GB" w:eastAsia="es-MX"/>
        </w:rPr>
      </w:pPr>
      <w:r w:rsidRPr="00180813">
        <w:rPr>
          <w:rFonts w:ascii="Times New Roman" w:hAnsi="Times New Roman" w:cs="Times New Roman"/>
          <w:sz w:val="24"/>
          <w:szCs w:val="24"/>
          <w:lang w:val="en-GB" w:eastAsia="es-MX"/>
        </w:rPr>
        <w:t>Taylor,</w:t>
      </w:r>
      <w:r w:rsidR="007D56DD">
        <w:rPr>
          <w:rFonts w:ascii="Times New Roman" w:hAnsi="Times New Roman" w:cs="Times New Roman"/>
          <w:sz w:val="24"/>
          <w:szCs w:val="24"/>
          <w:lang w:val="en-GB" w:eastAsia="es-MX"/>
        </w:rPr>
        <w:t xml:space="preserve"> J. (1999)</w:t>
      </w:r>
      <w:r w:rsidR="00CC78DC">
        <w:rPr>
          <w:rFonts w:ascii="Times New Roman" w:hAnsi="Times New Roman" w:cs="Times New Roman"/>
          <w:sz w:val="24"/>
          <w:szCs w:val="24"/>
          <w:lang w:val="en-GB" w:eastAsia="es-MX"/>
        </w:rPr>
        <w:t xml:space="preserve">. </w:t>
      </w:r>
      <w:r w:rsidRPr="00180813">
        <w:rPr>
          <w:rFonts w:ascii="Times New Roman" w:hAnsi="Times New Roman" w:cs="Times New Roman"/>
          <w:i/>
          <w:iCs/>
          <w:sz w:val="24"/>
          <w:szCs w:val="24"/>
          <w:lang w:val="en-GB" w:eastAsia="es-MX"/>
        </w:rPr>
        <w:t>Monetary Policy Rules</w:t>
      </w:r>
      <w:r w:rsidRPr="00180813">
        <w:rPr>
          <w:rFonts w:ascii="Times New Roman" w:hAnsi="Times New Roman" w:cs="Times New Roman"/>
          <w:sz w:val="24"/>
          <w:szCs w:val="24"/>
          <w:lang w:val="en-GB" w:eastAsia="es-MX"/>
        </w:rPr>
        <w:t>, Chicago: University of Chicago Press for NBER, 1-</w:t>
      </w:r>
      <w:r w:rsidR="00CC78DC">
        <w:rPr>
          <w:rFonts w:ascii="Times New Roman" w:hAnsi="Times New Roman" w:cs="Times New Roman"/>
          <w:sz w:val="24"/>
          <w:szCs w:val="24"/>
          <w:lang w:val="en-GB" w:eastAsia="es-MX"/>
        </w:rPr>
        <w:t>347</w:t>
      </w:r>
      <w:r w:rsidRPr="00180813">
        <w:rPr>
          <w:rFonts w:ascii="Times New Roman" w:hAnsi="Times New Roman" w:cs="Times New Roman"/>
          <w:sz w:val="24"/>
          <w:szCs w:val="24"/>
          <w:lang w:val="en-GB" w:eastAsia="es-MX"/>
        </w:rPr>
        <w:t>.</w:t>
      </w:r>
    </w:p>
    <w:p w14:paraId="37F303B7" w14:textId="05B60D39" w:rsidR="00370AA5" w:rsidRPr="00EF21D7" w:rsidRDefault="00773CAC" w:rsidP="00CC78DC">
      <w:pPr>
        <w:pStyle w:val="Sinespaciado"/>
        <w:ind w:left="709" w:hanging="709"/>
        <w:jc w:val="both"/>
        <w:rPr>
          <w:rFonts w:ascii="Times New Roman" w:hAnsi="Times New Roman" w:cs="Times New Roman"/>
          <w:sz w:val="24"/>
          <w:szCs w:val="24"/>
          <w:lang w:val="en-GB"/>
        </w:rPr>
      </w:pPr>
      <w:r w:rsidRPr="00180813">
        <w:rPr>
          <w:rFonts w:ascii="Times New Roman" w:hAnsi="Times New Roman" w:cs="Times New Roman"/>
          <w:sz w:val="24"/>
          <w:szCs w:val="24"/>
          <w:lang w:val="en-GB" w:eastAsia="es-MX"/>
        </w:rPr>
        <w:t>Warnock, M.V.</w:t>
      </w:r>
      <w:r w:rsidR="00CC78DC">
        <w:rPr>
          <w:rFonts w:ascii="Times New Roman" w:hAnsi="Times New Roman" w:cs="Times New Roman"/>
          <w:sz w:val="24"/>
          <w:szCs w:val="24"/>
          <w:lang w:val="en-GB" w:eastAsia="es-MX"/>
        </w:rPr>
        <w:t>,</w:t>
      </w:r>
      <w:r w:rsidRPr="00180813">
        <w:rPr>
          <w:rFonts w:ascii="Times New Roman" w:hAnsi="Times New Roman" w:cs="Times New Roman"/>
          <w:sz w:val="24"/>
          <w:szCs w:val="24"/>
          <w:lang w:val="en-GB" w:eastAsia="es-MX"/>
        </w:rPr>
        <w:t xml:space="preserve"> </w:t>
      </w:r>
      <w:proofErr w:type="spellStart"/>
      <w:r w:rsidRPr="00180813">
        <w:rPr>
          <w:rFonts w:ascii="Times New Roman" w:hAnsi="Times New Roman" w:cs="Times New Roman"/>
          <w:sz w:val="24"/>
          <w:szCs w:val="24"/>
          <w:lang w:val="en-GB" w:eastAsia="es-MX"/>
        </w:rPr>
        <w:t>Cacdac</w:t>
      </w:r>
      <w:proofErr w:type="spellEnd"/>
      <w:r w:rsidR="00CC78DC">
        <w:rPr>
          <w:rFonts w:ascii="Times New Roman" w:hAnsi="Times New Roman" w:cs="Times New Roman"/>
          <w:sz w:val="24"/>
          <w:szCs w:val="24"/>
          <w:lang w:val="en-GB" w:eastAsia="es-MX"/>
        </w:rPr>
        <w:t>, V.</w:t>
      </w:r>
      <w:r w:rsidRPr="00180813">
        <w:rPr>
          <w:rFonts w:ascii="Times New Roman" w:hAnsi="Times New Roman" w:cs="Times New Roman"/>
          <w:sz w:val="24"/>
          <w:szCs w:val="24"/>
          <w:lang w:val="en-GB" w:eastAsia="es-MX"/>
        </w:rPr>
        <w:t xml:space="preserve"> y Warnock, F</w:t>
      </w:r>
      <w:r w:rsidR="00CC78DC">
        <w:rPr>
          <w:rFonts w:ascii="Times New Roman" w:hAnsi="Times New Roman" w:cs="Times New Roman"/>
          <w:sz w:val="24"/>
          <w:szCs w:val="24"/>
          <w:lang w:val="en-GB" w:eastAsia="es-MX"/>
        </w:rPr>
        <w:t>.</w:t>
      </w:r>
      <w:r w:rsidRPr="00180813">
        <w:rPr>
          <w:rFonts w:ascii="Times New Roman" w:hAnsi="Times New Roman" w:cs="Times New Roman"/>
          <w:sz w:val="24"/>
          <w:szCs w:val="24"/>
          <w:lang w:val="en-GB" w:eastAsia="es-MX"/>
        </w:rPr>
        <w:t xml:space="preserve"> (2000). "The Declining Volatility of U.S.</w:t>
      </w:r>
      <w:r w:rsidR="00CC78DC">
        <w:rPr>
          <w:rFonts w:ascii="Times New Roman" w:hAnsi="Times New Roman" w:cs="Times New Roman"/>
          <w:sz w:val="24"/>
          <w:szCs w:val="24"/>
          <w:lang w:val="en-GB" w:eastAsia="es-MX"/>
        </w:rPr>
        <w:t xml:space="preserve"> </w:t>
      </w:r>
      <w:r w:rsidRPr="00180813">
        <w:rPr>
          <w:rFonts w:ascii="Times New Roman" w:hAnsi="Times New Roman" w:cs="Times New Roman"/>
          <w:sz w:val="24"/>
          <w:szCs w:val="24"/>
          <w:lang w:val="en-GB" w:eastAsia="es-MX"/>
        </w:rPr>
        <w:t>Employment: Was Arthur Burns Right?" Board of Governors of the Federal Reserve</w:t>
      </w:r>
      <w:r w:rsidR="00CC78DC">
        <w:rPr>
          <w:rFonts w:ascii="Times New Roman" w:hAnsi="Times New Roman" w:cs="Times New Roman"/>
          <w:sz w:val="24"/>
          <w:szCs w:val="24"/>
          <w:lang w:val="en-GB" w:eastAsia="es-MX"/>
        </w:rPr>
        <w:t xml:space="preserve"> </w:t>
      </w:r>
      <w:r w:rsidRPr="00180813">
        <w:rPr>
          <w:rFonts w:ascii="Times New Roman" w:hAnsi="Times New Roman" w:cs="Times New Roman"/>
          <w:sz w:val="24"/>
          <w:szCs w:val="24"/>
          <w:lang w:val="en-GB" w:eastAsia="es-MX"/>
        </w:rPr>
        <w:t>System, International Finance Discussion Paper no. 677</w:t>
      </w:r>
      <w:r w:rsidR="00CC78DC">
        <w:rPr>
          <w:rFonts w:ascii="Times New Roman" w:hAnsi="Times New Roman" w:cs="Times New Roman"/>
          <w:sz w:val="24"/>
          <w:szCs w:val="24"/>
          <w:lang w:val="en-GB" w:eastAsia="es-MX"/>
        </w:rPr>
        <w:t xml:space="preserve">. </w:t>
      </w:r>
      <w:r w:rsidR="00CC78DC" w:rsidRPr="00EF21D7">
        <w:rPr>
          <w:rFonts w:ascii="Times New Roman" w:hAnsi="Times New Roman" w:cs="Times New Roman"/>
          <w:sz w:val="24"/>
          <w:szCs w:val="24"/>
          <w:lang w:val="en-GB"/>
        </w:rPr>
        <w:t>https://doi.org/10.17016/ifdp.2000.677</w:t>
      </w:r>
    </w:p>
    <w:p w14:paraId="7C892EBA" w14:textId="29C662B8" w:rsidR="00CC78DC" w:rsidRPr="00EF21D7" w:rsidRDefault="00CC78DC" w:rsidP="00180813">
      <w:pPr>
        <w:pStyle w:val="Sinespaciado"/>
        <w:jc w:val="both"/>
        <w:rPr>
          <w:rFonts w:ascii="Times New Roman" w:hAnsi="Times New Roman" w:cs="Times New Roman"/>
          <w:sz w:val="24"/>
          <w:szCs w:val="24"/>
          <w:lang w:val="en-GB"/>
        </w:rPr>
      </w:pPr>
    </w:p>
    <w:sectPr w:rsidR="00CC78DC" w:rsidRPr="00EF21D7">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BE87" w14:textId="77777777" w:rsidR="00883800" w:rsidRDefault="00883800" w:rsidP="00375950">
      <w:pPr>
        <w:spacing w:after="0" w:line="240" w:lineRule="auto"/>
      </w:pPr>
      <w:r>
        <w:separator/>
      </w:r>
    </w:p>
  </w:endnote>
  <w:endnote w:type="continuationSeparator" w:id="0">
    <w:p w14:paraId="1B30FB53" w14:textId="77777777" w:rsidR="00883800" w:rsidRDefault="00883800" w:rsidP="00375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44380"/>
      <w:docPartObj>
        <w:docPartGallery w:val="Page Numbers (Bottom of Page)"/>
        <w:docPartUnique/>
      </w:docPartObj>
    </w:sdtPr>
    <w:sdtEndPr/>
    <w:sdtContent>
      <w:p w14:paraId="743F7655" w14:textId="6C97C6C2" w:rsidR="00E53A29" w:rsidRDefault="00E53A29">
        <w:pPr>
          <w:pStyle w:val="Piedepgina"/>
          <w:jc w:val="right"/>
        </w:pPr>
        <w:r>
          <w:fldChar w:fldCharType="begin"/>
        </w:r>
        <w:r>
          <w:instrText>PAGE   \* MERGEFORMAT</w:instrText>
        </w:r>
        <w:r>
          <w:fldChar w:fldCharType="separate"/>
        </w:r>
        <w:r>
          <w:rPr>
            <w:lang w:val="es-ES"/>
          </w:rPr>
          <w:t>2</w:t>
        </w:r>
        <w:r>
          <w:fldChar w:fldCharType="end"/>
        </w:r>
      </w:p>
    </w:sdtContent>
  </w:sdt>
  <w:p w14:paraId="6424DC78" w14:textId="77777777" w:rsidR="00E53A29" w:rsidRDefault="00E53A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CC5A" w14:textId="77777777" w:rsidR="00883800" w:rsidRDefault="00883800" w:rsidP="00375950">
      <w:pPr>
        <w:spacing w:after="0" w:line="240" w:lineRule="auto"/>
      </w:pPr>
      <w:r>
        <w:separator/>
      </w:r>
    </w:p>
  </w:footnote>
  <w:footnote w:type="continuationSeparator" w:id="0">
    <w:p w14:paraId="0BE32BFF" w14:textId="77777777" w:rsidR="00883800" w:rsidRDefault="00883800" w:rsidP="00375950">
      <w:pPr>
        <w:spacing w:after="0" w:line="240" w:lineRule="auto"/>
      </w:pPr>
      <w:r>
        <w:continuationSeparator/>
      </w:r>
    </w:p>
  </w:footnote>
  <w:footnote w:id="1">
    <w:p w14:paraId="7769D141" w14:textId="68DAE04E" w:rsidR="00E53A29" w:rsidRPr="0004051D" w:rsidRDefault="00E53A29" w:rsidP="0004051D">
      <w:pPr>
        <w:pStyle w:val="Textonotapie"/>
        <w:jc w:val="both"/>
        <w:rPr>
          <w:rFonts w:ascii="Times New Roman" w:hAnsi="Times New Roman" w:cs="Times New Roman"/>
        </w:rPr>
      </w:pPr>
      <w:r w:rsidRPr="0004051D">
        <w:rPr>
          <w:rStyle w:val="Refdenotaalpie"/>
          <w:rFonts w:ascii="Times New Roman" w:hAnsi="Times New Roman" w:cs="Times New Roman"/>
        </w:rPr>
        <w:footnoteRef/>
      </w:r>
      <w:r w:rsidRPr="0004051D">
        <w:rPr>
          <w:rFonts w:ascii="Times New Roman" w:hAnsi="Times New Roman" w:cs="Times New Roman"/>
        </w:rPr>
        <w:t xml:space="preserve"> </w:t>
      </w:r>
      <w:r>
        <w:rPr>
          <w:rFonts w:ascii="Times New Roman" w:hAnsi="Times New Roman" w:cs="Times New Roman"/>
        </w:rPr>
        <w:t xml:space="preserve">Respectivamente, </w:t>
      </w:r>
      <w:r w:rsidRPr="0004051D">
        <w:rPr>
          <w:rFonts w:ascii="Times New Roman" w:hAnsi="Times New Roman" w:cs="Times New Roman"/>
        </w:rPr>
        <w:t xml:space="preserve">Escuela Nacional de Estudios Superiores, Unidad León, UNAM, correo electrónico: </w:t>
      </w:r>
      <w:r w:rsidRPr="001A5569">
        <w:rPr>
          <w:rFonts w:ascii="Times New Roman" w:hAnsi="Times New Roman" w:cs="Times New Roman"/>
        </w:rPr>
        <w:t>vcerezog@enes.unam.m</w:t>
      </w:r>
      <w:r>
        <w:rPr>
          <w:rFonts w:ascii="Times New Roman" w:hAnsi="Times New Roman" w:cs="Times New Roman"/>
        </w:rPr>
        <w:t>x</w:t>
      </w:r>
      <w:r w:rsidRPr="0004051D">
        <w:rPr>
          <w:rFonts w:ascii="Times New Roman" w:hAnsi="Times New Roman" w:cs="Times New Roman"/>
        </w:rPr>
        <w:t xml:space="preserve">; </w:t>
      </w:r>
      <w:r>
        <w:rPr>
          <w:rFonts w:ascii="Times New Roman" w:hAnsi="Times New Roman" w:cs="Times New Roman"/>
        </w:rPr>
        <w:t xml:space="preserve">Departamento de Economía, </w:t>
      </w:r>
      <w:r w:rsidRPr="0004051D">
        <w:rPr>
          <w:rFonts w:ascii="Times New Roman" w:hAnsi="Times New Roman" w:cs="Times New Roman"/>
        </w:rPr>
        <w:t>U</w:t>
      </w:r>
      <w:r>
        <w:rPr>
          <w:rFonts w:ascii="Times New Roman" w:hAnsi="Times New Roman" w:cs="Times New Roman"/>
        </w:rPr>
        <w:t>niversidad Autónoma Metropolitana u</w:t>
      </w:r>
      <w:r w:rsidRPr="0004051D">
        <w:rPr>
          <w:rFonts w:ascii="Times New Roman" w:hAnsi="Times New Roman" w:cs="Times New Roman"/>
        </w:rPr>
        <w:t xml:space="preserve">nidad Iztapalapa, correo electrónico: </w:t>
      </w:r>
      <w:r w:rsidRPr="001A5569">
        <w:rPr>
          <w:rFonts w:ascii="Times New Roman" w:hAnsi="Times New Roman" w:cs="Times New Roman"/>
        </w:rPr>
        <w:t>hold77@hotmail.com</w:t>
      </w:r>
      <w:r w:rsidRPr="0004051D">
        <w:rPr>
          <w:rFonts w:ascii="Times New Roman" w:hAnsi="Times New Roman" w:cs="Times New Roman"/>
        </w:rPr>
        <w:t>; División de Estudios de Posgrado de la Facultad de Economía de la UNAM, correo electrónico: iph@unam.mx.</w:t>
      </w:r>
    </w:p>
  </w:footnote>
  <w:footnote w:id="2">
    <w:p w14:paraId="345A28F3" w14:textId="77777777" w:rsidR="00E53A29" w:rsidRDefault="00E53A29" w:rsidP="00375950">
      <w:pPr>
        <w:pStyle w:val="Textonotapie"/>
        <w:jc w:val="both"/>
      </w:pPr>
      <w:r>
        <w:rPr>
          <w:rStyle w:val="Refdenotaalpie"/>
        </w:rPr>
        <w:footnoteRef/>
      </w:r>
      <w:r>
        <w:t xml:space="preserve"> </w:t>
      </w:r>
      <w:r w:rsidRPr="006B76D7">
        <w:rPr>
          <w:rFonts w:ascii="Times New Roman" w:hAnsi="Times New Roman" w:cs="Times New Roman"/>
          <w:sz w:val="22"/>
          <w:szCs w:val="22"/>
        </w:rPr>
        <w:t>Corresponden a la tasa de fondos federales, los bonos de tesorería a 10 años y los bonos corporativos clasificados AAA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66400"/>
    <w:multiLevelType w:val="multilevel"/>
    <w:tmpl w:val="2EA8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A26C6A"/>
    <w:multiLevelType w:val="hybridMultilevel"/>
    <w:tmpl w:val="FEC6B2B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273471"/>
    <w:multiLevelType w:val="hybridMultilevel"/>
    <w:tmpl w:val="ABF45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2A6B0C"/>
    <w:multiLevelType w:val="hybridMultilevel"/>
    <w:tmpl w:val="3A60C7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2B1A9A"/>
    <w:multiLevelType w:val="multilevel"/>
    <w:tmpl w:val="6B4C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631C6"/>
    <w:multiLevelType w:val="hybridMultilevel"/>
    <w:tmpl w:val="4A7CDB54"/>
    <w:lvl w:ilvl="0" w:tplc="AA4CBA6A">
      <w:start w:val="1"/>
      <w:numFmt w:val="bullet"/>
      <w:lvlText w:val="•"/>
      <w:lvlJc w:val="left"/>
      <w:pPr>
        <w:tabs>
          <w:tab w:val="num" w:pos="720"/>
        </w:tabs>
        <w:ind w:left="720" w:hanging="360"/>
      </w:pPr>
      <w:rPr>
        <w:rFonts w:ascii="Times New Roman" w:hAnsi="Times New Roman" w:hint="default"/>
      </w:rPr>
    </w:lvl>
    <w:lvl w:ilvl="1" w:tplc="12D6E53E" w:tentative="1">
      <w:start w:val="1"/>
      <w:numFmt w:val="bullet"/>
      <w:lvlText w:val="•"/>
      <w:lvlJc w:val="left"/>
      <w:pPr>
        <w:tabs>
          <w:tab w:val="num" w:pos="1440"/>
        </w:tabs>
        <w:ind w:left="1440" w:hanging="360"/>
      </w:pPr>
      <w:rPr>
        <w:rFonts w:ascii="Times New Roman" w:hAnsi="Times New Roman" w:hint="default"/>
      </w:rPr>
    </w:lvl>
    <w:lvl w:ilvl="2" w:tplc="3B8CF566" w:tentative="1">
      <w:start w:val="1"/>
      <w:numFmt w:val="bullet"/>
      <w:lvlText w:val="•"/>
      <w:lvlJc w:val="left"/>
      <w:pPr>
        <w:tabs>
          <w:tab w:val="num" w:pos="2160"/>
        </w:tabs>
        <w:ind w:left="2160" w:hanging="360"/>
      </w:pPr>
      <w:rPr>
        <w:rFonts w:ascii="Times New Roman" w:hAnsi="Times New Roman" w:hint="default"/>
      </w:rPr>
    </w:lvl>
    <w:lvl w:ilvl="3" w:tplc="0DA8649E" w:tentative="1">
      <w:start w:val="1"/>
      <w:numFmt w:val="bullet"/>
      <w:lvlText w:val="•"/>
      <w:lvlJc w:val="left"/>
      <w:pPr>
        <w:tabs>
          <w:tab w:val="num" w:pos="2880"/>
        </w:tabs>
        <w:ind w:left="2880" w:hanging="360"/>
      </w:pPr>
      <w:rPr>
        <w:rFonts w:ascii="Times New Roman" w:hAnsi="Times New Roman" w:hint="default"/>
      </w:rPr>
    </w:lvl>
    <w:lvl w:ilvl="4" w:tplc="A16ADE26" w:tentative="1">
      <w:start w:val="1"/>
      <w:numFmt w:val="bullet"/>
      <w:lvlText w:val="•"/>
      <w:lvlJc w:val="left"/>
      <w:pPr>
        <w:tabs>
          <w:tab w:val="num" w:pos="3600"/>
        </w:tabs>
        <w:ind w:left="3600" w:hanging="360"/>
      </w:pPr>
      <w:rPr>
        <w:rFonts w:ascii="Times New Roman" w:hAnsi="Times New Roman" w:hint="default"/>
      </w:rPr>
    </w:lvl>
    <w:lvl w:ilvl="5" w:tplc="170809F2" w:tentative="1">
      <w:start w:val="1"/>
      <w:numFmt w:val="bullet"/>
      <w:lvlText w:val="•"/>
      <w:lvlJc w:val="left"/>
      <w:pPr>
        <w:tabs>
          <w:tab w:val="num" w:pos="4320"/>
        </w:tabs>
        <w:ind w:left="4320" w:hanging="360"/>
      </w:pPr>
      <w:rPr>
        <w:rFonts w:ascii="Times New Roman" w:hAnsi="Times New Roman" w:hint="default"/>
      </w:rPr>
    </w:lvl>
    <w:lvl w:ilvl="6" w:tplc="D1CABB5E" w:tentative="1">
      <w:start w:val="1"/>
      <w:numFmt w:val="bullet"/>
      <w:lvlText w:val="•"/>
      <w:lvlJc w:val="left"/>
      <w:pPr>
        <w:tabs>
          <w:tab w:val="num" w:pos="5040"/>
        </w:tabs>
        <w:ind w:left="5040" w:hanging="360"/>
      </w:pPr>
      <w:rPr>
        <w:rFonts w:ascii="Times New Roman" w:hAnsi="Times New Roman" w:hint="default"/>
      </w:rPr>
    </w:lvl>
    <w:lvl w:ilvl="7" w:tplc="79203ABE" w:tentative="1">
      <w:start w:val="1"/>
      <w:numFmt w:val="bullet"/>
      <w:lvlText w:val="•"/>
      <w:lvlJc w:val="left"/>
      <w:pPr>
        <w:tabs>
          <w:tab w:val="num" w:pos="5760"/>
        </w:tabs>
        <w:ind w:left="5760" w:hanging="360"/>
      </w:pPr>
      <w:rPr>
        <w:rFonts w:ascii="Times New Roman" w:hAnsi="Times New Roman" w:hint="default"/>
      </w:rPr>
    </w:lvl>
    <w:lvl w:ilvl="8" w:tplc="ED382EA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E9F"/>
    <w:rsid w:val="000143A7"/>
    <w:rsid w:val="00014FA2"/>
    <w:rsid w:val="00017B01"/>
    <w:rsid w:val="00021D2E"/>
    <w:rsid w:val="0004051D"/>
    <w:rsid w:val="000445C2"/>
    <w:rsid w:val="00046440"/>
    <w:rsid w:val="000476D6"/>
    <w:rsid w:val="0005145B"/>
    <w:rsid w:val="00063774"/>
    <w:rsid w:val="00065AB1"/>
    <w:rsid w:val="0007025E"/>
    <w:rsid w:val="0008032D"/>
    <w:rsid w:val="000867DE"/>
    <w:rsid w:val="000A6DC3"/>
    <w:rsid w:val="000B03CB"/>
    <w:rsid w:val="000B1F36"/>
    <w:rsid w:val="000C3E32"/>
    <w:rsid w:val="000C4B00"/>
    <w:rsid w:val="000D5247"/>
    <w:rsid w:val="000D6A71"/>
    <w:rsid w:val="000F09A0"/>
    <w:rsid w:val="000F2607"/>
    <w:rsid w:val="000F34D9"/>
    <w:rsid w:val="00100B33"/>
    <w:rsid w:val="001029EC"/>
    <w:rsid w:val="00110F9E"/>
    <w:rsid w:val="0011135F"/>
    <w:rsid w:val="001226F5"/>
    <w:rsid w:val="0012552E"/>
    <w:rsid w:val="001374DE"/>
    <w:rsid w:val="00137E43"/>
    <w:rsid w:val="001418B5"/>
    <w:rsid w:val="0014431C"/>
    <w:rsid w:val="00145071"/>
    <w:rsid w:val="00153CF4"/>
    <w:rsid w:val="0015523A"/>
    <w:rsid w:val="00157772"/>
    <w:rsid w:val="00160163"/>
    <w:rsid w:val="001619BF"/>
    <w:rsid w:val="00180438"/>
    <w:rsid w:val="00180813"/>
    <w:rsid w:val="00183818"/>
    <w:rsid w:val="00185BBA"/>
    <w:rsid w:val="00192012"/>
    <w:rsid w:val="0019604F"/>
    <w:rsid w:val="001A0685"/>
    <w:rsid w:val="001A44D5"/>
    <w:rsid w:val="001A5569"/>
    <w:rsid w:val="001B7F94"/>
    <w:rsid w:val="001B7FDF"/>
    <w:rsid w:val="001C1FF7"/>
    <w:rsid w:val="001C377F"/>
    <w:rsid w:val="001D059E"/>
    <w:rsid w:val="001D1F42"/>
    <w:rsid w:val="001D36DA"/>
    <w:rsid w:val="001E75D3"/>
    <w:rsid w:val="001F1555"/>
    <w:rsid w:val="00202731"/>
    <w:rsid w:val="002030E3"/>
    <w:rsid w:val="00205F1B"/>
    <w:rsid w:val="00206AF6"/>
    <w:rsid w:val="00206C2B"/>
    <w:rsid w:val="00223719"/>
    <w:rsid w:val="00224F43"/>
    <w:rsid w:val="002254E9"/>
    <w:rsid w:val="00231CF2"/>
    <w:rsid w:val="00232CD1"/>
    <w:rsid w:val="00232E98"/>
    <w:rsid w:val="002375AE"/>
    <w:rsid w:val="00243C82"/>
    <w:rsid w:val="00255512"/>
    <w:rsid w:val="00262E1C"/>
    <w:rsid w:val="00267532"/>
    <w:rsid w:val="00272CC4"/>
    <w:rsid w:val="00282410"/>
    <w:rsid w:val="00284861"/>
    <w:rsid w:val="002850E2"/>
    <w:rsid w:val="002A00BF"/>
    <w:rsid w:val="002A2F9C"/>
    <w:rsid w:val="002D0632"/>
    <w:rsid w:val="002D1F70"/>
    <w:rsid w:val="002D6D0C"/>
    <w:rsid w:val="002F5C66"/>
    <w:rsid w:val="00303941"/>
    <w:rsid w:val="00312768"/>
    <w:rsid w:val="00316682"/>
    <w:rsid w:val="00320D39"/>
    <w:rsid w:val="00322234"/>
    <w:rsid w:val="0032252C"/>
    <w:rsid w:val="00323F4D"/>
    <w:rsid w:val="00337E1D"/>
    <w:rsid w:val="00342873"/>
    <w:rsid w:val="00343BD0"/>
    <w:rsid w:val="0034629A"/>
    <w:rsid w:val="00351B01"/>
    <w:rsid w:val="00351CED"/>
    <w:rsid w:val="003607DE"/>
    <w:rsid w:val="00362ABE"/>
    <w:rsid w:val="00370AA5"/>
    <w:rsid w:val="00375950"/>
    <w:rsid w:val="00377839"/>
    <w:rsid w:val="00382112"/>
    <w:rsid w:val="00390677"/>
    <w:rsid w:val="00393601"/>
    <w:rsid w:val="003A31D2"/>
    <w:rsid w:val="003A3A91"/>
    <w:rsid w:val="003B380F"/>
    <w:rsid w:val="003C5A33"/>
    <w:rsid w:val="003D631D"/>
    <w:rsid w:val="003E28A3"/>
    <w:rsid w:val="003E7351"/>
    <w:rsid w:val="00405E97"/>
    <w:rsid w:val="004128CC"/>
    <w:rsid w:val="0041757A"/>
    <w:rsid w:val="0042412C"/>
    <w:rsid w:val="004249B3"/>
    <w:rsid w:val="00427C3A"/>
    <w:rsid w:val="0043786D"/>
    <w:rsid w:val="00440A58"/>
    <w:rsid w:val="00444780"/>
    <w:rsid w:val="00446692"/>
    <w:rsid w:val="0046252A"/>
    <w:rsid w:val="00466282"/>
    <w:rsid w:val="004766F7"/>
    <w:rsid w:val="004A1558"/>
    <w:rsid w:val="004B0568"/>
    <w:rsid w:val="004B365F"/>
    <w:rsid w:val="004D070B"/>
    <w:rsid w:val="004D1A53"/>
    <w:rsid w:val="004E2734"/>
    <w:rsid w:val="004F0F61"/>
    <w:rsid w:val="004F2156"/>
    <w:rsid w:val="00503F33"/>
    <w:rsid w:val="00540EC4"/>
    <w:rsid w:val="00543A20"/>
    <w:rsid w:val="00553F02"/>
    <w:rsid w:val="0055512B"/>
    <w:rsid w:val="00561099"/>
    <w:rsid w:val="00561734"/>
    <w:rsid w:val="00571D0E"/>
    <w:rsid w:val="0058281D"/>
    <w:rsid w:val="00594BFB"/>
    <w:rsid w:val="005A1A00"/>
    <w:rsid w:val="005A6D3B"/>
    <w:rsid w:val="005B31FC"/>
    <w:rsid w:val="005B651F"/>
    <w:rsid w:val="005B7072"/>
    <w:rsid w:val="005C33D6"/>
    <w:rsid w:val="005D029B"/>
    <w:rsid w:val="006132BF"/>
    <w:rsid w:val="006268F9"/>
    <w:rsid w:val="006300FE"/>
    <w:rsid w:val="006660A8"/>
    <w:rsid w:val="00695575"/>
    <w:rsid w:val="006A35B3"/>
    <w:rsid w:val="006B47B9"/>
    <w:rsid w:val="006B7D7A"/>
    <w:rsid w:val="006D0382"/>
    <w:rsid w:val="006D3BA4"/>
    <w:rsid w:val="006D4C09"/>
    <w:rsid w:val="006E1E5D"/>
    <w:rsid w:val="006E1F14"/>
    <w:rsid w:val="006E4D2E"/>
    <w:rsid w:val="006E580B"/>
    <w:rsid w:val="006F29B3"/>
    <w:rsid w:val="006F371C"/>
    <w:rsid w:val="0071313B"/>
    <w:rsid w:val="00716D90"/>
    <w:rsid w:val="00717D33"/>
    <w:rsid w:val="007204DA"/>
    <w:rsid w:val="007245B1"/>
    <w:rsid w:val="00730BAC"/>
    <w:rsid w:val="007348F3"/>
    <w:rsid w:val="00742173"/>
    <w:rsid w:val="0074239A"/>
    <w:rsid w:val="00742F8C"/>
    <w:rsid w:val="00755F49"/>
    <w:rsid w:val="00771BD2"/>
    <w:rsid w:val="00773CAC"/>
    <w:rsid w:val="0077530F"/>
    <w:rsid w:val="007938BA"/>
    <w:rsid w:val="00794BC9"/>
    <w:rsid w:val="0079516F"/>
    <w:rsid w:val="007967F7"/>
    <w:rsid w:val="007A0BED"/>
    <w:rsid w:val="007A0D0E"/>
    <w:rsid w:val="007B3857"/>
    <w:rsid w:val="007B4B7A"/>
    <w:rsid w:val="007C4867"/>
    <w:rsid w:val="007D56DD"/>
    <w:rsid w:val="007D5B32"/>
    <w:rsid w:val="007D7A18"/>
    <w:rsid w:val="007E5FC6"/>
    <w:rsid w:val="007F6361"/>
    <w:rsid w:val="00802C4C"/>
    <w:rsid w:val="00807148"/>
    <w:rsid w:val="00831B80"/>
    <w:rsid w:val="00843D33"/>
    <w:rsid w:val="00843D4D"/>
    <w:rsid w:val="00846801"/>
    <w:rsid w:val="00847ABE"/>
    <w:rsid w:val="00863084"/>
    <w:rsid w:val="00866E9F"/>
    <w:rsid w:val="008717BD"/>
    <w:rsid w:val="00873F24"/>
    <w:rsid w:val="00883407"/>
    <w:rsid w:val="00883800"/>
    <w:rsid w:val="00886F62"/>
    <w:rsid w:val="00891CA6"/>
    <w:rsid w:val="008A29B2"/>
    <w:rsid w:val="008A29BB"/>
    <w:rsid w:val="008A600D"/>
    <w:rsid w:val="008A6298"/>
    <w:rsid w:val="008A6912"/>
    <w:rsid w:val="008B335B"/>
    <w:rsid w:val="008C7F06"/>
    <w:rsid w:val="008C7FDC"/>
    <w:rsid w:val="008D4C6D"/>
    <w:rsid w:val="008E03FE"/>
    <w:rsid w:val="008E1CFB"/>
    <w:rsid w:val="008E76FF"/>
    <w:rsid w:val="008F0321"/>
    <w:rsid w:val="008F37EC"/>
    <w:rsid w:val="008F589A"/>
    <w:rsid w:val="00901D74"/>
    <w:rsid w:val="00903F2F"/>
    <w:rsid w:val="0092161D"/>
    <w:rsid w:val="0092537E"/>
    <w:rsid w:val="00926375"/>
    <w:rsid w:val="00927970"/>
    <w:rsid w:val="00950AF5"/>
    <w:rsid w:val="00956CDC"/>
    <w:rsid w:val="0096074A"/>
    <w:rsid w:val="00960C84"/>
    <w:rsid w:val="00962ECB"/>
    <w:rsid w:val="00966327"/>
    <w:rsid w:val="009705EC"/>
    <w:rsid w:val="009758E6"/>
    <w:rsid w:val="00980237"/>
    <w:rsid w:val="00980371"/>
    <w:rsid w:val="00982A97"/>
    <w:rsid w:val="00987BFF"/>
    <w:rsid w:val="00991054"/>
    <w:rsid w:val="00994091"/>
    <w:rsid w:val="009962F0"/>
    <w:rsid w:val="00996C42"/>
    <w:rsid w:val="009B3758"/>
    <w:rsid w:val="009C1789"/>
    <w:rsid w:val="009C434E"/>
    <w:rsid w:val="009C7A90"/>
    <w:rsid w:val="009D3F9A"/>
    <w:rsid w:val="009E71E7"/>
    <w:rsid w:val="00A00393"/>
    <w:rsid w:val="00A01AF9"/>
    <w:rsid w:val="00A0322E"/>
    <w:rsid w:val="00A03864"/>
    <w:rsid w:val="00A1592F"/>
    <w:rsid w:val="00A2537C"/>
    <w:rsid w:val="00A358D1"/>
    <w:rsid w:val="00A37CA7"/>
    <w:rsid w:val="00A4138E"/>
    <w:rsid w:val="00A43284"/>
    <w:rsid w:val="00A444F0"/>
    <w:rsid w:val="00A465D4"/>
    <w:rsid w:val="00A61BF4"/>
    <w:rsid w:val="00A62511"/>
    <w:rsid w:val="00A63FDB"/>
    <w:rsid w:val="00A734DB"/>
    <w:rsid w:val="00A846EA"/>
    <w:rsid w:val="00A84B0A"/>
    <w:rsid w:val="00A97CDA"/>
    <w:rsid w:val="00AA4C40"/>
    <w:rsid w:val="00AA7F5B"/>
    <w:rsid w:val="00AB1770"/>
    <w:rsid w:val="00AD0CC9"/>
    <w:rsid w:val="00AD1B0E"/>
    <w:rsid w:val="00AD7A9B"/>
    <w:rsid w:val="00B13300"/>
    <w:rsid w:val="00B2387B"/>
    <w:rsid w:val="00B331DD"/>
    <w:rsid w:val="00B33F22"/>
    <w:rsid w:val="00B37156"/>
    <w:rsid w:val="00B41952"/>
    <w:rsid w:val="00B42D24"/>
    <w:rsid w:val="00B4327A"/>
    <w:rsid w:val="00B56D71"/>
    <w:rsid w:val="00B572F4"/>
    <w:rsid w:val="00B74E63"/>
    <w:rsid w:val="00B76474"/>
    <w:rsid w:val="00B76842"/>
    <w:rsid w:val="00B836F7"/>
    <w:rsid w:val="00B870D5"/>
    <w:rsid w:val="00B91B35"/>
    <w:rsid w:val="00B93A26"/>
    <w:rsid w:val="00BA7034"/>
    <w:rsid w:val="00BB1632"/>
    <w:rsid w:val="00BB1DDA"/>
    <w:rsid w:val="00BB30A5"/>
    <w:rsid w:val="00BB58E4"/>
    <w:rsid w:val="00BC3C43"/>
    <w:rsid w:val="00BD150A"/>
    <w:rsid w:val="00BD675A"/>
    <w:rsid w:val="00BE520D"/>
    <w:rsid w:val="00BE7B5B"/>
    <w:rsid w:val="00BF05E7"/>
    <w:rsid w:val="00BF29B6"/>
    <w:rsid w:val="00BF49A9"/>
    <w:rsid w:val="00C011C3"/>
    <w:rsid w:val="00C046F0"/>
    <w:rsid w:val="00C127E8"/>
    <w:rsid w:val="00C2089E"/>
    <w:rsid w:val="00C22AA3"/>
    <w:rsid w:val="00C454D2"/>
    <w:rsid w:val="00C53F72"/>
    <w:rsid w:val="00C63252"/>
    <w:rsid w:val="00C7083F"/>
    <w:rsid w:val="00C73E86"/>
    <w:rsid w:val="00CA03C3"/>
    <w:rsid w:val="00CA2837"/>
    <w:rsid w:val="00CA2CE6"/>
    <w:rsid w:val="00CA3EA8"/>
    <w:rsid w:val="00CA4426"/>
    <w:rsid w:val="00CA4FE6"/>
    <w:rsid w:val="00CB45BA"/>
    <w:rsid w:val="00CB79EA"/>
    <w:rsid w:val="00CC35DA"/>
    <w:rsid w:val="00CC78DC"/>
    <w:rsid w:val="00CD33C9"/>
    <w:rsid w:val="00CD7D24"/>
    <w:rsid w:val="00CE40C1"/>
    <w:rsid w:val="00CE45F8"/>
    <w:rsid w:val="00CE6ED9"/>
    <w:rsid w:val="00CF1A02"/>
    <w:rsid w:val="00CF5719"/>
    <w:rsid w:val="00D0209E"/>
    <w:rsid w:val="00D1322A"/>
    <w:rsid w:val="00D23CF0"/>
    <w:rsid w:val="00D508C8"/>
    <w:rsid w:val="00D57727"/>
    <w:rsid w:val="00D72212"/>
    <w:rsid w:val="00D77690"/>
    <w:rsid w:val="00D80D69"/>
    <w:rsid w:val="00D91883"/>
    <w:rsid w:val="00D94B86"/>
    <w:rsid w:val="00DA4FBC"/>
    <w:rsid w:val="00DB2752"/>
    <w:rsid w:val="00DB52F1"/>
    <w:rsid w:val="00DB6677"/>
    <w:rsid w:val="00DC0F6C"/>
    <w:rsid w:val="00DE7C3D"/>
    <w:rsid w:val="00DF4C0C"/>
    <w:rsid w:val="00E06C14"/>
    <w:rsid w:val="00E13208"/>
    <w:rsid w:val="00E14493"/>
    <w:rsid w:val="00E15A37"/>
    <w:rsid w:val="00E178F1"/>
    <w:rsid w:val="00E209EC"/>
    <w:rsid w:val="00E219B4"/>
    <w:rsid w:val="00E250ED"/>
    <w:rsid w:val="00E34EA1"/>
    <w:rsid w:val="00E34EBB"/>
    <w:rsid w:val="00E407A5"/>
    <w:rsid w:val="00E53A29"/>
    <w:rsid w:val="00E60EBC"/>
    <w:rsid w:val="00E66534"/>
    <w:rsid w:val="00E7102E"/>
    <w:rsid w:val="00E739DF"/>
    <w:rsid w:val="00E83FD6"/>
    <w:rsid w:val="00E95917"/>
    <w:rsid w:val="00EA26DE"/>
    <w:rsid w:val="00EA5366"/>
    <w:rsid w:val="00EB139A"/>
    <w:rsid w:val="00EB261D"/>
    <w:rsid w:val="00EB2838"/>
    <w:rsid w:val="00EB3E4C"/>
    <w:rsid w:val="00EB530F"/>
    <w:rsid w:val="00EB64B8"/>
    <w:rsid w:val="00EB7F7A"/>
    <w:rsid w:val="00EC2CCB"/>
    <w:rsid w:val="00EE5BA7"/>
    <w:rsid w:val="00EE5ECA"/>
    <w:rsid w:val="00EF21D7"/>
    <w:rsid w:val="00EF5B53"/>
    <w:rsid w:val="00F10140"/>
    <w:rsid w:val="00F11122"/>
    <w:rsid w:val="00F27741"/>
    <w:rsid w:val="00F35446"/>
    <w:rsid w:val="00F37802"/>
    <w:rsid w:val="00F52072"/>
    <w:rsid w:val="00F53944"/>
    <w:rsid w:val="00F659A3"/>
    <w:rsid w:val="00F85178"/>
    <w:rsid w:val="00F8528C"/>
    <w:rsid w:val="00F9083E"/>
    <w:rsid w:val="00F947F0"/>
    <w:rsid w:val="00F97FBD"/>
    <w:rsid w:val="00FA27A2"/>
    <w:rsid w:val="00FA74A1"/>
    <w:rsid w:val="00FE5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C9EB"/>
  <w15:chartTrackingRefBased/>
  <w15:docId w15:val="{2B3C852C-9044-44C3-9FAE-37E78B4D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6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CD33C9"/>
    <w:rPr>
      <w:color w:val="808080"/>
    </w:rPr>
  </w:style>
  <w:style w:type="paragraph" w:styleId="NormalWeb">
    <w:name w:val="Normal (Web)"/>
    <w:basedOn w:val="Normal"/>
    <w:uiPriority w:val="99"/>
    <w:unhideWhenUsed/>
    <w:rsid w:val="00185B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375950"/>
    <w:pPr>
      <w:spacing w:after="0" w:line="240" w:lineRule="auto"/>
    </w:pPr>
  </w:style>
  <w:style w:type="paragraph" w:styleId="Textonotapie">
    <w:name w:val="footnote text"/>
    <w:basedOn w:val="Normal"/>
    <w:link w:val="TextonotapieCar"/>
    <w:unhideWhenUsed/>
    <w:rsid w:val="00375950"/>
    <w:pPr>
      <w:spacing w:after="0" w:line="240" w:lineRule="auto"/>
    </w:pPr>
    <w:rPr>
      <w:sz w:val="20"/>
      <w:szCs w:val="20"/>
    </w:rPr>
  </w:style>
  <w:style w:type="character" w:customStyle="1" w:styleId="TextonotapieCar">
    <w:name w:val="Texto nota pie Car"/>
    <w:basedOn w:val="Fuentedeprrafopredeter"/>
    <w:link w:val="Textonotapie"/>
    <w:rsid w:val="00375950"/>
    <w:rPr>
      <w:sz w:val="20"/>
      <w:szCs w:val="20"/>
    </w:rPr>
  </w:style>
  <w:style w:type="character" w:styleId="Refdenotaalpie">
    <w:name w:val="footnote reference"/>
    <w:basedOn w:val="Fuentedeprrafopredeter"/>
    <w:semiHidden/>
    <w:unhideWhenUsed/>
    <w:rsid w:val="00375950"/>
    <w:rPr>
      <w:vertAlign w:val="superscript"/>
    </w:rPr>
  </w:style>
  <w:style w:type="character" w:styleId="Hipervnculo">
    <w:name w:val="Hyperlink"/>
    <w:basedOn w:val="Fuentedeprrafopredeter"/>
    <w:uiPriority w:val="99"/>
    <w:unhideWhenUsed/>
    <w:rsid w:val="00375950"/>
    <w:rPr>
      <w:color w:val="0563C1" w:themeColor="hyperlink"/>
      <w:u w:val="single"/>
    </w:rPr>
  </w:style>
  <w:style w:type="paragraph" w:styleId="Prrafodelista">
    <w:name w:val="List Paragraph"/>
    <w:basedOn w:val="Normal"/>
    <w:uiPriority w:val="34"/>
    <w:qFormat/>
    <w:rsid w:val="001B7F94"/>
    <w:pPr>
      <w:spacing w:after="0" w:line="240" w:lineRule="auto"/>
      <w:ind w:left="720"/>
      <w:contextualSpacing/>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B7F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7F7A"/>
  </w:style>
  <w:style w:type="paragraph" w:styleId="Piedepgina">
    <w:name w:val="footer"/>
    <w:basedOn w:val="Normal"/>
    <w:link w:val="PiedepginaCar"/>
    <w:uiPriority w:val="99"/>
    <w:unhideWhenUsed/>
    <w:rsid w:val="00EB7F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7F7A"/>
  </w:style>
  <w:style w:type="character" w:styleId="Textoennegrita">
    <w:name w:val="Strong"/>
    <w:basedOn w:val="Fuentedeprrafopredeter"/>
    <w:uiPriority w:val="22"/>
    <w:qFormat/>
    <w:rsid w:val="00773CAC"/>
    <w:rPr>
      <w:b/>
      <w:bCs/>
    </w:rPr>
  </w:style>
  <w:style w:type="character" w:customStyle="1" w:styleId="date-display-single">
    <w:name w:val="date-display-single"/>
    <w:basedOn w:val="Fuentedeprrafopredeter"/>
    <w:rsid w:val="00773CAC"/>
  </w:style>
  <w:style w:type="character" w:styleId="Mencinsinresolver">
    <w:name w:val="Unresolved Mention"/>
    <w:basedOn w:val="Fuentedeprrafopredeter"/>
    <w:uiPriority w:val="99"/>
    <w:semiHidden/>
    <w:unhideWhenUsed/>
    <w:rsid w:val="0004051D"/>
    <w:rPr>
      <w:color w:val="605E5C"/>
      <w:shd w:val="clear" w:color="auto" w:fill="E1DFDD"/>
    </w:rPr>
  </w:style>
  <w:style w:type="paragraph" w:customStyle="1" w:styleId="Default">
    <w:name w:val="Default"/>
    <w:rsid w:val="00312768"/>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personname">
    <w:name w:val="person_name"/>
    <w:basedOn w:val="Fuentedeprrafopredeter"/>
    <w:rsid w:val="00312768"/>
  </w:style>
  <w:style w:type="character" w:styleId="nfasis">
    <w:name w:val="Emphasis"/>
    <w:basedOn w:val="Fuentedeprrafopredeter"/>
    <w:uiPriority w:val="20"/>
    <w:qFormat/>
    <w:rsid w:val="00312768"/>
    <w:rPr>
      <w:i/>
      <w:iCs/>
    </w:rPr>
  </w:style>
  <w:style w:type="paragraph" w:customStyle="1" w:styleId="xmsonormal">
    <w:name w:val="x_msonormal"/>
    <w:basedOn w:val="Normal"/>
    <w:rsid w:val="0031276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144">
      <w:bodyDiv w:val="1"/>
      <w:marLeft w:val="0"/>
      <w:marRight w:val="0"/>
      <w:marTop w:val="0"/>
      <w:marBottom w:val="0"/>
      <w:divBdr>
        <w:top w:val="none" w:sz="0" w:space="0" w:color="auto"/>
        <w:left w:val="none" w:sz="0" w:space="0" w:color="auto"/>
        <w:bottom w:val="none" w:sz="0" w:space="0" w:color="auto"/>
        <w:right w:val="none" w:sz="0" w:space="0" w:color="auto"/>
      </w:divBdr>
    </w:div>
    <w:div w:id="61145916">
      <w:bodyDiv w:val="1"/>
      <w:marLeft w:val="0"/>
      <w:marRight w:val="0"/>
      <w:marTop w:val="0"/>
      <w:marBottom w:val="0"/>
      <w:divBdr>
        <w:top w:val="none" w:sz="0" w:space="0" w:color="auto"/>
        <w:left w:val="none" w:sz="0" w:space="0" w:color="auto"/>
        <w:bottom w:val="none" w:sz="0" w:space="0" w:color="auto"/>
        <w:right w:val="none" w:sz="0" w:space="0" w:color="auto"/>
      </w:divBdr>
    </w:div>
    <w:div w:id="266623943">
      <w:bodyDiv w:val="1"/>
      <w:marLeft w:val="0"/>
      <w:marRight w:val="0"/>
      <w:marTop w:val="0"/>
      <w:marBottom w:val="0"/>
      <w:divBdr>
        <w:top w:val="none" w:sz="0" w:space="0" w:color="auto"/>
        <w:left w:val="none" w:sz="0" w:space="0" w:color="auto"/>
        <w:bottom w:val="none" w:sz="0" w:space="0" w:color="auto"/>
        <w:right w:val="none" w:sz="0" w:space="0" w:color="auto"/>
      </w:divBdr>
      <w:divsChild>
        <w:div w:id="648366759">
          <w:marLeft w:val="0"/>
          <w:marRight w:val="0"/>
          <w:marTop w:val="0"/>
          <w:marBottom w:val="0"/>
          <w:divBdr>
            <w:top w:val="none" w:sz="0" w:space="0" w:color="auto"/>
            <w:left w:val="none" w:sz="0" w:space="0" w:color="auto"/>
            <w:bottom w:val="none" w:sz="0" w:space="0" w:color="auto"/>
            <w:right w:val="none" w:sz="0" w:space="0" w:color="auto"/>
          </w:divBdr>
          <w:divsChild>
            <w:div w:id="911086254">
              <w:marLeft w:val="0"/>
              <w:marRight w:val="0"/>
              <w:marTop w:val="0"/>
              <w:marBottom w:val="0"/>
              <w:divBdr>
                <w:top w:val="none" w:sz="0" w:space="0" w:color="auto"/>
                <w:left w:val="none" w:sz="0" w:space="0" w:color="auto"/>
                <w:bottom w:val="none" w:sz="0" w:space="0" w:color="auto"/>
                <w:right w:val="none" w:sz="0" w:space="0" w:color="auto"/>
              </w:divBdr>
              <w:divsChild>
                <w:div w:id="2032493439">
                  <w:marLeft w:val="0"/>
                  <w:marRight w:val="0"/>
                  <w:marTop w:val="0"/>
                  <w:marBottom w:val="0"/>
                  <w:divBdr>
                    <w:top w:val="none" w:sz="0" w:space="0" w:color="auto"/>
                    <w:left w:val="none" w:sz="0" w:space="0" w:color="auto"/>
                    <w:bottom w:val="none" w:sz="0" w:space="0" w:color="auto"/>
                    <w:right w:val="none" w:sz="0" w:space="0" w:color="auto"/>
                  </w:divBdr>
                  <w:divsChild>
                    <w:div w:id="703947579">
                      <w:marLeft w:val="0"/>
                      <w:marRight w:val="0"/>
                      <w:marTop w:val="0"/>
                      <w:marBottom w:val="0"/>
                      <w:divBdr>
                        <w:top w:val="none" w:sz="0" w:space="0" w:color="auto"/>
                        <w:left w:val="none" w:sz="0" w:space="0" w:color="auto"/>
                        <w:bottom w:val="none" w:sz="0" w:space="0" w:color="auto"/>
                        <w:right w:val="none" w:sz="0" w:space="0" w:color="auto"/>
                      </w:divBdr>
                      <w:divsChild>
                        <w:div w:id="15082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137053">
          <w:marLeft w:val="0"/>
          <w:marRight w:val="0"/>
          <w:marTop w:val="0"/>
          <w:marBottom w:val="0"/>
          <w:divBdr>
            <w:top w:val="none" w:sz="0" w:space="0" w:color="auto"/>
            <w:left w:val="none" w:sz="0" w:space="0" w:color="auto"/>
            <w:bottom w:val="none" w:sz="0" w:space="0" w:color="auto"/>
            <w:right w:val="none" w:sz="0" w:space="0" w:color="auto"/>
          </w:divBdr>
          <w:divsChild>
            <w:div w:id="9441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2211">
      <w:bodyDiv w:val="1"/>
      <w:marLeft w:val="0"/>
      <w:marRight w:val="0"/>
      <w:marTop w:val="0"/>
      <w:marBottom w:val="0"/>
      <w:divBdr>
        <w:top w:val="none" w:sz="0" w:space="0" w:color="auto"/>
        <w:left w:val="none" w:sz="0" w:space="0" w:color="auto"/>
        <w:bottom w:val="none" w:sz="0" w:space="0" w:color="auto"/>
        <w:right w:val="none" w:sz="0" w:space="0" w:color="auto"/>
      </w:divBdr>
      <w:divsChild>
        <w:div w:id="721363101">
          <w:marLeft w:val="0"/>
          <w:marRight w:val="0"/>
          <w:marTop w:val="0"/>
          <w:marBottom w:val="0"/>
          <w:divBdr>
            <w:top w:val="none" w:sz="0" w:space="0" w:color="auto"/>
            <w:left w:val="none" w:sz="0" w:space="0" w:color="auto"/>
            <w:bottom w:val="none" w:sz="0" w:space="0" w:color="auto"/>
            <w:right w:val="none" w:sz="0" w:space="0" w:color="auto"/>
          </w:divBdr>
        </w:div>
        <w:div w:id="1035891874">
          <w:marLeft w:val="0"/>
          <w:marRight w:val="0"/>
          <w:marTop w:val="0"/>
          <w:marBottom w:val="0"/>
          <w:divBdr>
            <w:top w:val="none" w:sz="0" w:space="0" w:color="auto"/>
            <w:left w:val="none" w:sz="0" w:space="0" w:color="auto"/>
            <w:bottom w:val="none" w:sz="0" w:space="0" w:color="auto"/>
            <w:right w:val="none" w:sz="0" w:space="0" w:color="auto"/>
          </w:divBdr>
        </w:div>
        <w:div w:id="1116828201">
          <w:marLeft w:val="0"/>
          <w:marRight w:val="0"/>
          <w:marTop w:val="0"/>
          <w:marBottom w:val="0"/>
          <w:divBdr>
            <w:top w:val="none" w:sz="0" w:space="0" w:color="auto"/>
            <w:left w:val="none" w:sz="0" w:space="0" w:color="auto"/>
            <w:bottom w:val="none" w:sz="0" w:space="0" w:color="auto"/>
            <w:right w:val="none" w:sz="0" w:space="0" w:color="auto"/>
          </w:divBdr>
        </w:div>
      </w:divsChild>
    </w:div>
    <w:div w:id="536092298">
      <w:bodyDiv w:val="1"/>
      <w:marLeft w:val="0"/>
      <w:marRight w:val="0"/>
      <w:marTop w:val="0"/>
      <w:marBottom w:val="0"/>
      <w:divBdr>
        <w:top w:val="none" w:sz="0" w:space="0" w:color="auto"/>
        <w:left w:val="none" w:sz="0" w:space="0" w:color="auto"/>
        <w:bottom w:val="none" w:sz="0" w:space="0" w:color="auto"/>
        <w:right w:val="none" w:sz="0" w:space="0" w:color="auto"/>
      </w:divBdr>
    </w:div>
    <w:div w:id="608506579">
      <w:bodyDiv w:val="1"/>
      <w:marLeft w:val="0"/>
      <w:marRight w:val="0"/>
      <w:marTop w:val="0"/>
      <w:marBottom w:val="0"/>
      <w:divBdr>
        <w:top w:val="none" w:sz="0" w:space="0" w:color="auto"/>
        <w:left w:val="none" w:sz="0" w:space="0" w:color="auto"/>
        <w:bottom w:val="none" w:sz="0" w:space="0" w:color="auto"/>
        <w:right w:val="none" w:sz="0" w:space="0" w:color="auto"/>
      </w:divBdr>
      <w:divsChild>
        <w:div w:id="2705846">
          <w:marLeft w:val="0"/>
          <w:marRight w:val="0"/>
          <w:marTop w:val="0"/>
          <w:marBottom w:val="0"/>
          <w:divBdr>
            <w:top w:val="none" w:sz="0" w:space="0" w:color="auto"/>
            <w:left w:val="none" w:sz="0" w:space="0" w:color="auto"/>
            <w:bottom w:val="none" w:sz="0" w:space="0" w:color="auto"/>
            <w:right w:val="none" w:sz="0" w:space="0" w:color="auto"/>
          </w:divBdr>
        </w:div>
        <w:div w:id="37554834">
          <w:marLeft w:val="0"/>
          <w:marRight w:val="0"/>
          <w:marTop w:val="0"/>
          <w:marBottom w:val="0"/>
          <w:divBdr>
            <w:top w:val="none" w:sz="0" w:space="0" w:color="auto"/>
            <w:left w:val="none" w:sz="0" w:space="0" w:color="auto"/>
            <w:bottom w:val="none" w:sz="0" w:space="0" w:color="auto"/>
            <w:right w:val="none" w:sz="0" w:space="0" w:color="auto"/>
          </w:divBdr>
        </w:div>
        <w:div w:id="119764652">
          <w:marLeft w:val="0"/>
          <w:marRight w:val="0"/>
          <w:marTop w:val="0"/>
          <w:marBottom w:val="0"/>
          <w:divBdr>
            <w:top w:val="none" w:sz="0" w:space="0" w:color="auto"/>
            <w:left w:val="none" w:sz="0" w:space="0" w:color="auto"/>
            <w:bottom w:val="none" w:sz="0" w:space="0" w:color="auto"/>
            <w:right w:val="none" w:sz="0" w:space="0" w:color="auto"/>
          </w:divBdr>
        </w:div>
        <w:div w:id="266812594">
          <w:marLeft w:val="0"/>
          <w:marRight w:val="0"/>
          <w:marTop w:val="0"/>
          <w:marBottom w:val="0"/>
          <w:divBdr>
            <w:top w:val="none" w:sz="0" w:space="0" w:color="auto"/>
            <w:left w:val="none" w:sz="0" w:space="0" w:color="auto"/>
            <w:bottom w:val="none" w:sz="0" w:space="0" w:color="auto"/>
            <w:right w:val="none" w:sz="0" w:space="0" w:color="auto"/>
          </w:divBdr>
        </w:div>
        <w:div w:id="841049422">
          <w:marLeft w:val="0"/>
          <w:marRight w:val="0"/>
          <w:marTop w:val="0"/>
          <w:marBottom w:val="0"/>
          <w:divBdr>
            <w:top w:val="none" w:sz="0" w:space="0" w:color="auto"/>
            <w:left w:val="none" w:sz="0" w:space="0" w:color="auto"/>
            <w:bottom w:val="none" w:sz="0" w:space="0" w:color="auto"/>
            <w:right w:val="none" w:sz="0" w:space="0" w:color="auto"/>
          </w:divBdr>
        </w:div>
        <w:div w:id="1154180975">
          <w:marLeft w:val="0"/>
          <w:marRight w:val="0"/>
          <w:marTop w:val="0"/>
          <w:marBottom w:val="0"/>
          <w:divBdr>
            <w:top w:val="none" w:sz="0" w:space="0" w:color="auto"/>
            <w:left w:val="none" w:sz="0" w:space="0" w:color="auto"/>
            <w:bottom w:val="none" w:sz="0" w:space="0" w:color="auto"/>
            <w:right w:val="none" w:sz="0" w:space="0" w:color="auto"/>
          </w:divBdr>
        </w:div>
        <w:div w:id="1157918570">
          <w:marLeft w:val="0"/>
          <w:marRight w:val="0"/>
          <w:marTop w:val="0"/>
          <w:marBottom w:val="0"/>
          <w:divBdr>
            <w:top w:val="none" w:sz="0" w:space="0" w:color="auto"/>
            <w:left w:val="none" w:sz="0" w:space="0" w:color="auto"/>
            <w:bottom w:val="none" w:sz="0" w:space="0" w:color="auto"/>
            <w:right w:val="none" w:sz="0" w:space="0" w:color="auto"/>
          </w:divBdr>
        </w:div>
        <w:div w:id="1185705541">
          <w:marLeft w:val="0"/>
          <w:marRight w:val="0"/>
          <w:marTop w:val="0"/>
          <w:marBottom w:val="0"/>
          <w:divBdr>
            <w:top w:val="none" w:sz="0" w:space="0" w:color="auto"/>
            <w:left w:val="none" w:sz="0" w:space="0" w:color="auto"/>
            <w:bottom w:val="none" w:sz="0" w:space="0" w:color="auto"/>
            <w:right w:val="none" w:sz="0" w:space="0" w:color="auto"/>
          </w:divBdr>
        </w:div>
        <w:div w:id="1615357163">
          <w:marLeft w:val="0"/>
          <w:marRight w:val="0"/>
          <w:marTop w:val="0"/>
          <w:marBottom w:val="0"/>
          <w:divBdr>
            <w:top w:val="none" w:sz="0" w:space="0" w:color="auto"/>
            <w:left w:val="none" w:sz="0" w:space="0" w:color="auto"/>
            <w:bottom w:val="none" w:sz="0" w:space="0" w:color="auto"/>
            <w:right w:val="none" w:sz="0" w:space="0" w:color="auto"/>
          </w:divBdr>
        </w:div>
        <w:div w:id="1705709205">
          <w:marLeft w:val="0"/>
          <w:marRight w:val="0"/>
          <w:marTop w:val="0"/>
          <w:marBottom w:val="0"/>
          <w:divBdr>
            <w:top w:val="none" w:sz="0" w:space="0" w:color="auto"/>
            <w:left w:val="none" w:sz="0" w:space="0" w:color="auto"/>
            <w:bottom w:val="none" w:sz="0" w:space="0" w:color="auto"/>
            <w:right w:val="none" w:sz="0" w:space="0" w:color="auto"/>
          </w:divBdr>
        </w:div>
        <w:div w:id="2091273396">
          <w:marLeft w:val="0"/>
          <w:marRight w:val="0"/>
          <w:marTop w:val="0"/>
          <w:marBottom w:val="0"/>
          <w:divBdr>
            <w:top w:val="none" w:sz="0" w:space="0" w:color="auto"/>
            <w:left w:val="none" w:sz="0" w:space="0" w:color="auto"/>
            <w:bottom w:val="none" w:sz="0" w:space="0" w:color="auto"/>
            <w:right w:val="none" w:sz="0" w:space="0" w:color="auto"/>
          </w:divBdr>
        </w:div>
        <w:div w:id="2093236553">
          <w:marLeft w:val="0"/>
          <w:marRight w:val="0"/>
          <w:marTop w:val="0"/>
          <w:marBottom w:val="0"/>
          <w:divBdr>
            <w:top w:val="none" w:sz="0" w:space="0" w:color="auto"/>
            <w:left w:val="none" w:sz="0" w:space="0" w:color="auto"/>
            <w:bottom w:val="none" w:sz="0" w:space="0" w:color="auto"/>
            <w:right w:val="none" w:sz="0" w:space="0" w:color="auto"/>
          </w:divBdr>
        </w:div>
      </w:divsChild>
    </w:div>
    <w:div w:id="653412043">
      <w:bodyDiv w:val="1"/>
      <w:marLeft w:val="0"/>
      <w:marRight w:val="0"/>
      <w:marTop w:val="0"/>
      <w:marBottom w:val="0"/>
      <w:divBdr>
        <w:top w:val="none" w:sz="0" w:space="0" w:color="auto"/>
        <w:left w:val="none" w:sz="0" w:space="0" w:color="auto"/>
        <w:bottom w:val="none" w:sz="0" w:space="0" w:color="auto"/>
        <w:right w:val="none" w:sz="0" w:space="0" w:color="auto"/>
      </w:divBdr>
    </w:div>
    <w:div w:id="657155020">
      <w:bodyDiv w:val="1"/>
      <w:marLeft w:val="0"/>
      <w:marRight w:val="0"/>
      <w:marTop w:val="0"/>
      <w:marBottom w:val="0"/>
      <w:divBdr>
        <w:top w:val="none" w:sz="0" w:space="0" w:color="auto"/>
        <w:left w:val="none" w:sz="0" w:space="0" w:color="auto"/>
        <w:bottom w:val="none" w:sz="0" w:space="0" w:color="auto"/>
        <w:right w:val="none" w:sz="0" w:space="0" w:color="auto"/>
      </w:divBdr>
    </w:div>
    <w:div w:id="670528193">
      <w:bodyDiv w:val="1"/>
      <w:marLeft w:val="0"/>
      <w:marRight w:val="0"/>
      <w:marTop w:val="0"/>
      <w:marBottom w:val="0"/>
      <w:divBdr>
        <w:top w:val="none" w:sz="0" w:space="0" w:color="auto"/>
        <w:left w:val="none" w:sz="0" w:space="0" w:color="auto"/>
        <w:bottom w:val="none" w:sz="0" w:space="0" w:color="auto"/>
        <w:right w:val="none" w:sz="0" w:space="0" w:color="auto"/>
      </w:divBdr>
      <w:divsChild>
        <w:div w:id="386880776">
          <w:marLeft w:val="0"/>
          <w:marRight w:val="0"/>
          <w:marTop w:val="0"/>
          <w:marBottom w:val="0"/>
          <w:divBdr>
            <w:top w:val="none" w:sz="0" w:space="0" w:color="auto"/>
            <w:left w:val="none" w:sz="0" w:space="0" w:color="auto"/>
            <w:bottom w:val="none" w:sz="0" w:space="0" w:color="auto"/>
            <w:right w:val="none" w:sz="0" w:space="0" w:color="auto"/>
          </w:divBdr>
        </w:div>
        <w:div w:id="947469737">
          <w:marLeft w:val="0"/>
          <w:marRight w:val="0"/>
          <w:marTop w:val="0"/>
          <w:marBottom w:val="0"/>
          <w:divBdr>
            <w:top w:val="none" w:sz="0" w:space="0" w:color="auto"/>
            <w:left w:val="none" w:sz="0" w:space="0" w:color="auto"/>
            <w:bottom w:val="none" w:sz="0" w:space="0" w:color="auto"/>
            <w:right w:val="none" w:sz="0" w:space="0" w:color="auto"/>
          </w:divBdr>
        </w:div>
      </w:divsChild>
    </w:div>
    <w:div w:id="889341770">
      <w:bodyDiv w:val="1"/>
      <w:marLeft w:val="0"/>
      <w:marRight w:val="0"/>
      <w:marTop w:val="0"/>
      <w:marBottom w:val="0"/>
      <w:divBdr>
        <w:top w:val="none" w:sz="0" w:space="0" w:color="auto"/>
        <w:left w:val="none" w:sz="0" w:space="0" w:color="auto"/>
        <w:bottom w:val="none" w:sz="0" w:space="0" w:color="auto"/>
        <w:right w:val="none" w:sz="0" w:space="0" w:color="auto"/>
      </w:divBdr>
    </w:div>
    <w:div w:id="944461171">
      <w:bodyDiv w:val="1"/>
      <w:marLeft w:val="0"/>
      <w:marRight w:val="0"/>
      <w:marTop w:val="0"/>
      <w:marBottom w:val="0"/>
      <w:divBdr>
        <w:top w:val="none" w:sz="0" w:space="0" w:color="auto"/>
        <w:left w:val="none" w:sz="0" w:space="0" w:color="auto"/>
        <w:bottom w:val="none" w:sz="0" w:space="0" w:color="auto"/>
        <w:right w:val="none" w:sz="0" w:space="0" w:color="auto"/>
      </w:divBdr>
    </w:div>
    <w:div w:id="1094522364">
      <w:bodyDiv w:val="1"/>
      <w:marLeft w:val="0"/>
      <w:marRight w:val="0"/>
      <w:marTop w:val="0"/>
      <w:marBottom w:val="0"/>
      <w:divBdr>
        <w:top w:val="none" w:sz="0" w:space="0" w:color="auto"/>
        <w:left w:val="none" w:sz="0" w:space="0" w:color="auto"/>
        <w:bottom w:val="none" w:sz="0" w:space="0" w:color="auto"/>
        <w:right w:val="none" w:sz="0" w:space="0" w:color="auto"/>
      </w:divBdr>
    </w:div>
    <w:div w:id="1349722014">
      <w:bodyDiv w:val="1"/>
      <w:marLeft w:val="0"/>
      <w:marRight w:val="0"/>
      <w:marTop w:val="0"/>
      <w:marBottom w:val="0"/>
      <w:divBdr>
        <w:top w:val="none" w:sz="0" w:space="0" w:color="auto"/>
        <w:left w:val="none" w:sz="0" w:space="0" w:color="auto"/>
        <w:bottom w:val="none" w:sz="0" w:space="0" w:color="auto"/>
        <w:right w:val="none" w:sz="0" w:space="0" w:color="auto"/>
      </w:divBdr>
      <w:divsChild>
        <w:div w:id="1021324236">
          <w:marLeft w:val="547"/>
          <w:marRight w:val="0"/>
          <w:marTop w:val="154"/>
          <w:marBottom w:val="0"/>
          <w:divBdr>
            <w:top w:val="none" w:sz="0" w:space="0" w:color="auto"/>
            <w:left w:val="none" w:sz="0" w:space="0" w:color="auto"/>
            <w:bottom w:val="none" w:sz="0" w:space="0" w:color="auto"/>
            <w:right w:val="none" w:sz="0" w:space="0" w:color="auto"/>
          </w:divBdr>
        </w:div>
      </w:divsChild>
    </w:div>
    <w:div w:id="1377462433">
      <w:bodyDiv w:val="1"/>
      <w:marLeft w:val="0"/>
      <w:marRight w:val="0"/>
      <w:marTop w:val="0"/>
      <w:marBottom w:val="0"/>
      <w:divBdr>
        <w:top w:val="none" w:sz="0" w:space="0" w:color="auto"/>
        <w:left w:val="none" w:sz="0" w:space="0" w:color="auto"/>
        <w:bottom w:val="none" w:sz="0" w:space="0" w:color="auto"/>
        <w:right w:val="none" w:sz="0" w:space="0" w:color="auto"/>
      </w:divBdr>
      <w:divsChild>
        <w:div w:id="530340516">
          <w:marLeft w:val="0"/>
          <w:marRight w:val="0"/>
          <w:marTop w:val="0"/>
          <w:marBottom w:val="0"/>
          <w:divBdr>
            <w:top w:val="none" w:sz="0" w:space="0" w:color="auto"/>
            <w:left w:val="none" w:sz="0" w:space="0" w:color="auto"/>
            <w:bottom w:val="none" w:sz="0" w:space="0" w:color="auto"/>
            <w:right w:val="none" w:sz="0" w:space="0" w:color="auto"/>
          </w:divBdr>
        </w:div>
        <w:div w:id="891430544">
          <w:marLeft w:val="0"/>
          <w:marRight w:val="0"/>
          <w:marTop w:val="0"/>
          <w:marBottom w:val="0"/>
          <w:divBdr>
            <w:top w:val="none" w:sz="0" w:space="0" w:color="auto"/>
            <w:left w:val="none" w:sz="0" w:space="0" w:color="auto"/>
            <w:bottom w:val="none" w:sz="0" w:space="0" w:color="auto"/>
            <w:right w:val="none" w:sz="0" w:space="0" w:color="auto"/>
          </w:divBdr>
        </w:div>
        <w:div w:id="1265307875">
          <w:marLeft w:val="0"/>
          <w:marRight w:val="0"/>
          <w:marTop w:val="0"/>
          <w:marBottom w:val="0"/>
          <w:divBdr>
            <w:top w:val="none" w:sz="0" w:space="0" w:color="auto"/>
            <w:left w:val="none" w:sz="0" w:space="0" w:color="auto"/>
            <w:bottom w:val="none" w:sz="0" w:space="0" w:color="auto"/>
            <w:right w:val="none" w:sz="0" w:space="0" w:color="auto"/>
          </w:divBdr>
        </w:div>
        <w:div w:id="1327637453">
          <w:marLeft w:val="0"/>
          <w:marRight w:val="0"/>
          <w:marTop w:val="0"/>
          <w:marBottom w:val="0"/>
          <w:divBdr>
            <w:top w:val="none" w:sz="0" w:space="0" w:color="auto"/>
            <w:left w:val="none" w:sz="0" w:space="0" w:color="auto"/>
            <w:bottom w:val="none" w:sz="0" w:space="0" w:color="auto"/>
            <w:right w:val="none" w:sz="0" w:space="0" w:color="auto"/>
          </w:divBdr>
        </w:div>
        <w:div w:id="1789352493">
          <w:marLeft w:val="0"/>
          <w:marRight w:val="0"/>
          <w:marTop w:val="0"/>
          <w:marBottom w:val="0"/>
          <w:divBdr>
            <w:top w:val="none" w:sz="0" w:space="0" w:color="auto"/>
            <w:left w:val="none" w:sz="0" w:space="0" w:color="auto"/>
            <w:bottom w:val="none" w:sz="0" w:space="0" w:color="auto"/>
            <w:right w:val="none" w:sz="0" w:space="0" w:color="auto"/>
          </w:divBdr>
        </w:div>
        <w:div w:id="1818720043">
          <w:marLeft w:val="0"/>
          <w:marRight w:val="0"/>
          <w:marTop w:val="0"/>
          <w:marBottom w:val="0"/>
          <w:divBdr>
            <w:top w:val="none" w:sz="0" w:space="0" w:color="auto"/>
            <w:left w:val="none" w:sz="0" w:space="0" w:color="auto"/>
            <w:bottom w:val="none" w:sz="0" w:space="0" w:color="auto"/>
            <w:right w:val="none" w:sz="0" w:space="0" w:color="auto"/>
          </w:divBdr>
        </w:div>
        <w:div w:id="1962691328">
          <w:marLeft w:val="0"/>
          <w:marRight w:val="0"/>
          <w:marTop w:val="0"/>
          <w:marBottom w:val="0"/>
          <w:divBdr>
            <w:top w:val="none" w:sz="0" w:space="0" w:color="auto"/>
            <w:left w:val="none" w:sz="0" w:space="0" w:color="auto"/>
            <w:bottom w:val="none" w:sz="0" w:space="0" w:color="auto"/>
            <w:right w:val="none" w:sz="0" w:space="0" w:color="auto"/>
          </w:divBdr>
        </w:div>
        <w:div w:id="2135322887">
          <w:marLeft w:val="0"/>
          <w:marRight w:val="0"/>
          <w:marTop w:val="0"/>
          <w:marBottom w:val="0"/>
          <w:divBdr>
            <w:top w:val="none" w:sz="0" w:space="0" w:color="auto"/>
            <w:left w:val="none" w:sz="0" w:space="0" w:color="auto"/>
            <w:bottom w:val="none" w:sz="0" w:space="0" w:color="auto"/>
            <w:right w:val="none" w:sz="0" w:space="0" w:color="auto"/>
          </w:divBdr>
        </w:div>
      </w:divsChild>
    </w:div>
    <w:div w:id="1507819322">
      <w:bodyDiv w:val="1"/>
      <w:marLeft w:val="0"/>
      <w:marRight w:val="0"/>
      <w:marTop w:val="0"/>
      <w:marBottom w:val="0"/>
      <w:divBdr>
        <w:top w:val="none" w:sz="0" w:space="0" w:color="auto"/>
        <w:left w:val="none" w:sz="0" w:space="0" w:color="auto"/>
        <w:bottom w:val="none" w:sz="0" w:space="0" w:color="auto"/>
        <w:right w:val="none" w:sz="0" w:space="0" w:color="auto"/>
      </w:divBdr>
    </w:div>
    <w:div w:id="1897350370">
      <w:bodyDiv w:val="1"/>
      <w:marLeft w:val="0"/>
      <w:marRight w:val="0"/>
      <w:marTop w:val="0"/>
      <w:marBottom w:val="0"/>
      <w:divBdr>
        <w:top w:val="none" w:sz="0" w:space="0" w:color="auto"/>
        <w:left w:val="none" w:sz="0" w:space="0" w:color="auto"/>
        <w:bottom w:val="none" w:sz="0" w:space="0" w:color="auto"/>
        <w:right w:val="none" w:sz="0" w:space="0" w:color="auto"/>
      </w:divBdr>
    </w:div>
    <w:div w:id="21219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2139/ssrn.9388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7/25514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2307/255202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LD\Documents\Esta%20HP\Bases%20de%20datos\An&#225;lisis\PM%20y%20Deuda%20USA\Politica%20monetaria%20y%20deuda%20USA%20v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LD\Documents\Esta%20HP\Bases%20de%20datos\An&#225;lisis\PM%20y%20Deuda%20USA\Politica%20monetaria%20y%20deuda%20USA%20v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LD\Documents\Esta%20HP\Bases%20de%20datos\An&#225;lisis\PM%20y%20Deuda%20USA\Politica%20monetaria%20y%20deuda%20USA%20v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LD\Documents\Esta%20HP\Bases%20de%20datos\An&#225;lisis\PM%20y%20Deuda%20USA\Politica%20monetaria%20y%20deuda%20USA%20v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57725313729023"/>
          <c:y val="5.9467682982253342E-2"/>
          <c:w val="0.79174476484581779"/>
          <c:h val="0.68846198664913183"/>
        </c:manualLayout>
      </c:layout>
      <c:barChart>
        <c:barDir val="col"/>
        <c:grouping val="stacked"/>
        <c:varyColors val="0"/>
        <c:ser>
          <c:idx val="2"/>
          <c:order val="2"/>
          <c:spPr>
            <a:solidFill>
              <a:schemeClr val="accent3"/>
            </a:solidFill>
            <a:ln w="63500" cmpd="sng">
              <a:solidFill>
                <a:schemeClr val="bg1">
                  <a:lumMod val="95000"/>
                </a:schemeClr>
              </a:solidFill>
            </a:ln>
            <a:effectLst/>
          </c:spPr>
          <c:invertIfNegative val="0"/>
          <c:cat>
            <c:strRef>
              <c:f>Gráficas!$AC$12:$AC$82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Gráficas!$AL$12:$AL$82</c:f>
              <c:numCache>
                <c:formatCode>General</c:formatCode>
                <c:ptCount val="71"/>
                <c:pt idx="20" formatCode="0">
                  <c:v>5000</c:v>
                </c:pt>
                <c:pt idx="21" formatCode="0">
                  <c:v>5000</c:v>
                </c:pt>
                <c:pt idx="22" formatCode="0">
                  <c:v>5000</c:v>
                </c:pt>
                <c:pt idx="23" formatCode="0">
                  <c:v>5000</c:v>
                </c:pt>
                <c:pt idx="24" formatCode="0">
                  <c:v>5000</c:v>
                </c:pt>
                <c:pt idx="25" formatCode="0">
                  <c:v>5000</c:v>
                </c:pt>
                <c:pt idx="26" formatCode="0">
                  <c:v>5000</c:v>
                </c:pt>
                <c:pt idx="27" formatCode="0">
                  <c:v>5000</c:v>
                </c:pt>
                <c:pt idx="68" formatCode="0">
                  <c:v>5000</c:v>
                </c:pt>
                <c:pt idx="69" formatCode="0">
                  <c:v>5000</c:v>
                </c:pt>
                <c:pt idx="70" formatCode="0">
                  <c:v>5000</c:v>
                </c:pt>
              </c:numCache>
            </c:numRef>
          </c:val>
          <c:extLst>
            <c:ext xmlns:c16="http://schemas.microsoft.com/office/drawing/2014/chart" uri="{C3380CC4-5D6E-409C-BE32-E72D297353CC}">
              <c16:uniqueId val="{00000000-1A90-4BDF-89BA-4E38625A59D1}"/>
            </c:ext>
          </c:extLst>
        </c:ser>
        <c:dLbls>
          <c:showLegendKey val="0"/>
          <c:showVal val="0"/>
          <c:showCatName val="0"/>
          <c:showSerName val="0"/>
          <c:showPercent val="0"/>
          <c:showBubbleSize val="0"/>
        </c:dLbls>
        <c:gapWidth val="150"/>
        <c:overlap val="100"/>
        <c:axId val="537382224"/>
        <c:axId val="537390096"/>
      </c:barChart>
      <c:lineChart>
        <c:grouping val="standard"/>
        <c:varyColors val="0"/>
        <c:ser>
          <c:idx val="0"/>
          <c:order val="0"/>
          <c:tx>
            <c:v>Hoja de Balance</c:v>
          </c:tx>
          <c:spPr>
            <a:ln w="9525" cap="rnd">
              <a:solidFill>
                <a:schemeClr val="tx1"/>
              </a:solidFill>
              <a:prstDash val="solid"/>
              <a:round/>
            </a:ln>
            <a:effectLst/>
          </c:spPr>
          <c:marker>
            <c:symbol val="none"/>
          </c:marker>
          <c:cat>
            <c:strRef>
              <c:f>Gráficas!$AE$12:$AE$82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Gráficas!$AJ$12:$AJ$82</c:f>
              <c:numCache>
                <c:formatCode>0</c:formatCode>
                <c:ptCount val="71"/>
                <c:pt idx="0">
                  <c:v>633.17461538461532</c:v>
                </c:pt>
                <c:pt idx="1">
                  <c:v>648.57730769230773</c:v>
                </c:pt>
                <c:pt idx="2">
                  <c:v>653.70192307692309</c:v>
                </c:pt>
                <c:pt idx="3">
                  <c:v>661.45849999999996</c:v>
                </c:pt>
                <c:pt idx="4">
                  <c:v>670.21299999999997</c:v>
                </c:pt>
                <c:pt idx="5">
                  <c:v>679.93876923076925</c:v>
                </c:pt>
                <c:pt idx="6">
                  <c:v>694.11584615384618</c:v>
                </c:pt>
                <c:pt idx="7">
                  <c:v>710.35638461538463</c:v>
                </c:pt>
                <c:pt idx="8">
                  <c:v>717.71915384615386</c:v>
                </c:pt>
                <c:pt idx="9">
                  <c:v>721.90200000000004</c:v>
                </c:pt>
                <c:pt idx="10">
                  <c:v>728.36115384615391</c:v>
                </c:pt>
                <c:pt idx="11">
                  <c:v>741.79053846153852</c:v>
                </c:pt>
                <c:pt idx="12">
                  <c:v>751.10946153846146</c:v>
                </c:pt>
                <c:pt idx="13">
                  <c:v>761.77084615384615</c:v>
                </c:pt>
                <c:pt idx="14">
                  <c:v>766.29323076923072</c:v>
                </c:pt>
                <c:pt idx="15">
                  <c:v>771.86307692307685</c:v>
                </c:pt>
                <c:pt idx="16">
                  <c:v>779.63915384615382</c:v>
                </c:pt>
                <c:pt idx="17">
                  <c:v>787.93607692307683</c:v>
                </c:pt>
                <c:pt idx="18">
                  <c:v>786.65830769230774</c:v>
                </c:pt>
                <c:pt idx="19">
                  <c:v>776.57038461538457</c:v>
                </c:pt>
                <c:pt idx="20">
                  <c:v>706.29615384615386</c:v>
                </c:pt>
                <c:pt idx="21">
                  <c:v>520.01561538461533</c:v>
                </c:pt>
                <c:pt idx="22">
                  <c:v>479.15761538461538</c:v>
                </c:pt>
                <c:pt idx="23">
                  <c:v>476.36692857142856</c:v>
                </c:pt>
                <c:pt idx="24">
                  <c:v>474.97199999999998</c:v>
                </c:pt>
                <c:pt idx="25">
                  <c:v>573.74507692307691</c:v>
                </c:pt>
                <c:pt idx="26">
                  <c:v>723.56871428571435</c:v>
                </c:pt>
                <c:pt idx="27">
                  <c:v>775.35469230769229</c:v>
                </c:pt>
                <c:pt idx="28">
                  <c:v>776.60761538461543</c:v>
                </c:pt>
                <c:pt idx="29">
                  <c:v>776.83515384615384</c:v>
                </c:pt>
                <c:pt idx="30">
                  <c:v>785.67</c:v>
                </c:pt>
                <c:pt idx="31">
                  <c:v>895.23515384615382</c:v>
                </c:pt>
                <c:pt idx="32">
                  <c:v>1185.9606153846155</c:v>
                </c:pt>
                <c:pt idx="33">
                  <c:v>1488.7136923076923</c:v>
                </c:pt>
                <c:pt idx="34">
                  <c:v>1646.4111538461539</c:v>
                </c:pt>
                <c:pt idx="35">
                  <c:v>1671.4340769230771</c:v>
                </c:pt>
                <c:pt idx="36">
                  <c:v>1660.2432307692306</c:v>
                </c:pt>
                <c:pt idx="37">
                  <c:v>1665.2914615384616</c:v>
                </c:pt>
                <c:pt idx="38">
                  <c:v>1649.8451538461538</c:v>
                </c:pt>
                <c:pt idx="39">
                  <c:v>1653.3123076923077</c:v>
                </c:pt>
                <c:pt idx="40">
                  <c:v>1729.2754615384615</c:v>
                </c:pt>
                <c:pt idx="41">
                  <c:v>1866.1645384615385</c:v>
                </c:pt>
                <c:pt idx="42">
                  <c:v>2002.1516923076922</c:v>
                </c:pt>
                <c:pt idx="43">
                  <c:v>2140.1359230769231</c:v>
                </c:pt>
                <c:pt idx="44">
                  <c:v>2259.9371538461542</c:v>
                </c:pt>
                <c:pt idx="45">
                  <c:v>2360.1083846153847</c:v>
                </c:pt>
                <c:pt idx="46">
                  <c:v>2426.7448461538461</c:v>
                </c:pt>
                <c:pt idx="47">
                  <c:v>2459.7306428571428</c:v>
                </c:pt>
                <c:pt idx="48">
                  <c:v>2460.4234999999999</c:v>
                </c:pt>
                <c:pt idx="49">
                  <c:v>2460.3070769230771</c:v>
                </c:pt>
                <c:pt idx="50">
                  <c:v>2461.6337142857142</c:v>
                </c:pt>
                <c:pt idx="51">
                  <c:v>2461.6993846153846</c:v>
                </c:pt>
                <c:pt idx="52">
                  <c:v>2461.2786153846155</c:v>
                </c:pt>
                <c:pt idx="53">
                  <c:v>2461.7022307692309</c:v>
                </c:pt>
                <c:pt idx="54">
                  <c:v>2463.1501538461539</c:v>
                </c:pt>
                <c:pt idx="55">
                  <c:v>2463.6039999999998</c:v>
                </c:pt>
                <c:pt idx="56">
                  <c:v>2463.6252307692312</c:v>
                </c:pt>
                <c:pt idx="57">
                  <c:v>2464.7405384615386</c:v>
                </c:pt>
                <c:pt idx="58">
                  <c:v>2465.2615384615383</c:v>
                </c:pt>
                <c:pt idx="59">
                  <c:v>2459.2160769230768</c:v>
                </c:pt>
                <c:pt idx="60">
                  <c:v>2434.9145384615385</c:v>
                </c:pt>
                <c:pt idx="61">
                  <c:v>2393.5941538461539</c:v>
                </c:pt>
                <c:pt idx="62">
                  <c:v>2333.8985384615385</c:v>
                </c:pt>
                <c:pt idx="63">
                  <c:v>2265.9145384615385</c:v>
                </c:pt>
                <c:pt idx="64">
                  <c:v>2198.6859230769228</c:v>
                </c:pt>
                <c:pt idx="65">
                  <c:v>2126.5866153846155</c:v>
                </c:pt>
                <c:pt idx="66">
                  <c:v>2093.4524615384616</c:v>
                </c:pt>
                <c:pt idx="67">
                  <c:v>2209.4364615384616</c:v>
                </c:pt>
                <c:pt idx="68">
                  <c:v>2482.342846153846</c:v>
                </c:pt>
                <c:pt idx="69">
                  <c:v>3967.1275384615383</c:v>
                </c:pt>
                <c:pt idx="70">
                  <c:v>4332.2396428571428</c:v>
                </c:pt>
              </c:numCache>
            </c:numRef>
          </c:val>
          <c:smooth val="0"/>
          <c:extLst>
            <c:ext xmlns:c16="http://schemas.microsoft.com/office/drawing/2014/chart" uri="{C3380CC4-5D6E-409C-BE32-E72D297353CC}">
              <c16:uniqueId val="{00000001-1A90-4BDF-89BA-4E38625A59D1}"/>
            </c:ext>
          </c:extLst>
        </c:ser>
        <c:dLbls>
          <c:showLegendKey val="0"/>
          <c:showVal val="0"/>
          <c:showCatName val="0"/>
          <c:showSerName val="0"/>
          <c:showPercent val="0"/>
          <c:showBubbleSize val="0"/>
        </c:dLbls>
        <c:marker val="1"/>
        <c:smooth val="0"/>
        <c:axId val="537382224"/>
        <c:axId val="537390096"/>
      </c:lineChart>
      <c:lineChart>
        <c:grouping val="standard"/>
        <c:varyColors val="0"/>
        <c:ser>
          <c:idx val="1"/>
          <c:order val="1"/>
          <c:tx>
            <c:v>PIB</c:v>
          </c:tx>
          <c:spPr>
            <a:ln w="12700" cap="rnd">
              <a:solidFill>
                <a:schemeClr val="tx1"/>
              </a:solidFill>
              <a:prstDash val="sysDot"/>
              <a:round/>
            </a:ln>
            <a:effectLst/>
          </c:spPr>
          <c:marker>
            <c:symbol val="none"/>
          </c:marker>
          <c:cat>
            <c:strRef>
              <c:f>Gráficas!$AE$12:$AE$82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Gráficas!$AF$12:$AF$82</c:f>
              <c:numCache>
                <c:formatCode>0.0</c:formatCode>
                <c:ptCount val="71"/>
                <c:pt idx="0">
                  <c:v>1.7709260333968999</c:v>
                </c:pt>
                <c:pt idx="1">
                  <c:v>2.0284015230536134</c:v>
                </c:pt>
                <c:pt idx="2">
                  <c:v>3.3018072532091658</c:v>
                </c:pt>
                <c:pt idx="3">
                  <c:v>4.3263637349303607</c:v>
                </c:pt>
                <c:pt idx="4">
                  <c:v>4.3045559511101672</c:v>
                </c:pt>
                <c:pt idx="5">
                  <c:v>4.2030190219159991</c:v>
                </c:pt>
                <c:pt idx="6">
                  <c:v>3.4315942425362733</c:v>
                </c:pt>
                <c:pt idx="7">
                  <c:v>3.2817942389794297</c:v>
                </c:pt>
                <c:pt idx="8">
                  <c:v>3.8706788743187781</c:v>
                </c:pt>
                <c:pt idx="9">
                  <c:v>3.5608927899697385</c:v>
                </c:pt>
                <c:pt idx="10">
                  <c:v>3.5055000492668631</c:v>
                </c:pt>
                <c:pt idx="11">
                  <c:v>3.1261117567341623</c:v>
                </c:pt>
                <c:pt idx="12">
                  <c:v>3.3538953656681025</c:v>
                </c:pt>
                <c:pt idx="13">
                  <c:v>3.1194733742285763</c:v>
                </c:pt>
                <c:pt idx="14">
                  <c:v>2.3665026033489189</c:v>
                </c:pt>
                <c:pt idx="15">
                  <c:v>2.5907043476612435</c:v>
                </c:pt>
                <c:pt idx="16">
                  <c:v>1.4822921163047287</c:v>
                </c:pt>
                <c:pt idx="17">
                  <c:v>1.8256902172469891</c:v>
                </c:pt>
                <c:pt idx="18">
                  <c:v>2.2208130097647105</c:v>
                </c:pt>
                <c:pt idx="19">
                  <c:v>1.9734770017792114</c:v>
                </c:pt>
                <c:pt idx="20">
                  <c:v>1.1492369239313405</c:v>
                </c:pt>
                <c:pt idx="21">
                  <c:v>1.0924278011572808</c:v>
                </c:pt>
                <c:pt idx="22">
                  <c:v>1.8766134467718132E-3</c:v>
                </c:pt>
                <c:pt idx="23">
                  <c:v>-2.7530823996439802</c:v>
                </c:pt>
                <c:pt idx="24">
                  <c:v>-3.2890716788279817</c:v>
                </c:pt>
                <c:pt idx="25">
                  <c:v>-3.9244474693596709</c:v>
                </c:pt>
                <c:pt idx="26">
                  <c:v>-3.0497800444109657</c:v>
                </c:pt>
                <c:pt idx="27">
                  <c:v>0.18287376970183011</c:v>
                </c:pt>
                <c:pt idx="28">
                  <c:v>1.7102539033498898</c:v>
                </c:pt>
                <c:pt idx="29">
                  <c:v>2.7960669464401233</c:v>
                </c:pt>
                <c:pt idx="30">
                  <c:v>3.1782075676766386</c:v>
                </c:pt>
                <c:pt idx="31">
                  <c:v>2.5694555983946765</c:v>
                </c:pt>
                <c:pt idx="32">
                  <c:v>1.9306273604521751</c:v>
                </c:pt>
                <c:pt idx="33">
                  <c:v>1.7215031417567417</c:v>
                </c:pt>
                <c:pt idx="34">
                  <c:v>0.94903856077277471</c:v>
                </c:pt>
                <c:pt idx="35">
                  <c:v>1.6093451184938434</c:v>
                </c:pt>
                <c:pt idx="36">
                  <c:v>2.6517563085102225</c:v>
                </c:pt>
                <c:pt idx="37">
                  <c:v>2.3615083193936792</c:v>
                </c:pt>
                <c:pt idx="38">
                  <c:v>2.5281244121666324</c:v>
                </c:pt>
                <c:pt idx="39">
                  <c:v>1.4685671314413673</c:v>
                </c:pt>
                <c:pt idx="40">
                  <c:v>1.5719479127390246</c:v>
                </c:pt>
                <c:pt idx="41">
                  <c:v>1.261654650184596</c:v>
                </c:pt>
                <c:pt idx="42">
                  <c:v>1.9174182126549644</c:v>
                </c:pt>
                <c:pt idx="43">
                  <c:v>2.6141225572404947</c:v>
                </c:pt>
                <c:pt idx="44">
                  <c:v>1.4257245747002711</c:v>
                </c:pt>
                <c:pt idx="45">
                  <c:v>2.672012632295484</c:v>
                </c:pt>
                <c:pt idx="46">
                  <c:v>3.1177282148194818</c:v>
                </c:pt>
                <c:pt idx="47">
                  <c:v>2.8768548714418696</c:v>
                </c:pt>
                <c:pt idx="48">
                  <c:v>4.147746593575774</c:v>
                </c:pt>
                <c:pt idx="49">
                  <c:v>3.4520135593682166</c:v>
                </c:pt>
                <c:pt idx="50">
                  <c:v>2.5747666926497992</c:v>
                </c:pt>
                <c:pt idx="51">
                  <c:v>2.1642839161260863</c:v>
                </c:pt>
                <c:pt idx="52">
                  <c:v>1.7769355148061328</c:v>
                </c:pt>
                <c:pt idx="53">
                  <c:v>1.4082544866664382</c:v>
                </c:pt>
                <c:pt idx="54">
                  <c:v>1.5919398435026988</c:v>
                </c:pt>
                <c:pt idx="55">
                  <c:v>2.0675786592214029</c:v>
                </c:pt>
                <c:pt idx="56">
                  <c:v>2.0668231171439233</c:v>
                </c:pt>
                <c:pt idx="57">
                  <c:v>2.1838607519765407</c:v>
                </c:pt>
                <c:pt idx="58">
                  <c:v>2.3713063496260123</c:v>
                </c:pt>
                <c:pt idx="59">
                  <c:v>2.7033350390098798</c:v>
                </c:pt>
                <c:pt idx="60">
                  <c:v>3.0771248418193675</c:v>
                </c:pt>
                <c:pt idx="61">
                  <c:v>3.3251874382456137</c:v>
                </c:pt>
                <c:pt idx="62">
                  <c:v>3.1163002435399711</c:v>
                </c:pt>
                <c:pt idx="63">
                  <c:v>2.4755176411173307</c:v>
                </c:pt>
                <c:pt idx="64">
                  <c:v>2.2658020406878254</c:v>
                </c:pt>
                <c:pt idx="65">
                  <c:v>1.9631630603459849</c:v>
                </c:pt>
                <c:pt idx="66">
                  <c:v>2.0764802471251009</c:v>
                </c:pt>
                <c:pt idx="67">
                  <c:v>2.338885043793737</c:v>
                </c:pt>
                <c:pt idx="68">
                  <c:v>0.31926064249048203</c:v>
                </c:pt>
                <c:pt idx="69">
                  <c:v>-9.0327752780550714</c:v>
                </c:pt>
                <c:pt idx="70">
                  <c:v>-2.9163642801149359</c:v>
                </c:pt>
              </c:numCache>
            </c:numRef>
          </c:val>
          <c:smooth val="0"/>
          <c:extLst>
            <c:ext xmlns:c16="http://schemas.microsoft.com/office/drawing/2014/chart" uri="{C3380CC4-5D6E-409C-BE32-E72D297353CC}">
              <c16:uniqueId val="{00000002-1A90-4BDF-89BA-4E38625A59D1}"/>
            </c:ext>
          </c:extLst>
        </c:ser>
        <c:ser>
          <c:idx val="3"/>
          <c:order val="3"/>
          <c:tx>
            <c:v>Tasa desempleo</c:v>
          </c:tx>
          <c:spPr>
            <a:ln w="9525" cap="rnd">
              <a:solidFill>
                <a:sysClr val="windowText" lastClr="000000"/>
              </a:solidFill>
              <a:prstDash val="sysDash"/>
              <a:round/>
            </a:ln>
            <a:effectLst/>
          </c:spPr>
          <c:marker>
            <c:symbol val="none"/>
          </c:marker>
          <c:val>
            <c:numRef>
              <c:f>Gráficas!$AI$12:$AI$82</c:f>
              <c:numCache>
                <c:formatCode>0.0</c:formatCode>
                <c:ptCount val="71"/>
                <c:pt idx="0">
                  <c:v>5.8666666666666671</c:v>
                </c:pt>
                <c:pt idx="1">
                  <c:v>6.1333333333333329</c:v>
                </c:pt>
                <c:pt idx="2">
                  <c:v>6.1333333333333329</c:v>
                </c:pt>
                <c:pt idx="3">
                  <c:v>5.833333333333333</c:v>
                </c:pt>
                <c:pt idx="4">
                  <c:v>5.7</c:v>
                </c:pt>
                <c:pt idx="5">
                  <c:v>5.6</c:v>
                </c:pt>
                <c:pt idx="6">
                  <c:v>5.4333333333333336</c:v>
                </c:pt>
                <c:pt idx="7">
                  <c:v>5.4333333333333336</c:v>
                </c:pt>
                <c:pt idx="8">
                  <c:v>5.3</c:v>
                </c:pt>
                <c:pt idx="9">
                  <c:v>5.0999999999999996</c:v>
                </c:pt>
                <c:pt idx="10">
                  <c:v>4.9666666666666668</c:v>
                </c:pt>
                <c:pt idx="11">
                  <c:v>4.9666666666666668</c:v>
                </c:pt>
                <c:pt idx="12">
                  <c:v>4.7333333333333334</c:v>
                </c:pt>
                <c:pt idx="13">
                  <c:v>4.6333333333333329</c:v>
                </c:pt>
                <c:pt idx="14">
                  <c:v>4.6333333333333329</c:v>
                </c:pt>
                <c:pt idx="15">
                  <c:v>4.4333333333333336</c:v>
                </c:pt>
                <c:pt idx="16">
                  <c:v>4.5</c:v>
                </c:pt>
                <c:pt idx="17">
                  <c:v>4.5</c:v>
                </c:pt>
                <c:pt idx="18">
                  <c:v>4.666666666666667</c:v>
                </c:pt>
                <c:pt idx="19">
                  <c:v>4.8</c:v>
                </c:pt>
                <c:pt idx="20">
                  <c:v>5</c:v>
                </c:pt>
                <c:pt idx="21">
                  <c:v>5.333333333333333</c:v>
                </c:pt>
                <c:pt idx="22">
                  <c:v>6</c:v>
                </c:pt>
                <c:pt idx="23">
                  <c:v>6.8666666666666671</c:v>
                </c:pt>
                <c:pt idx="24">
                  <c:v>8.2666666666666675</c:v>
                </c:pt>
                <c:pt idx="25">
                  <c:v>9.3000000000000007</c:v>
                </c:pt>
                <c:pt idx="26">
                  <c:v>9.6333333333333329</c:v>
                </c:pt>
                <c:pt idx="27">
                  <c:v>9.9333333333333336</c:v>
                </c:pt>
                <c:pt idx="28">
                  <c:v>9.8333333333333339</c:v>
                </c:pt>
                <c:pt idx="29">
                  <c:v>9.6333333333333329</c:v>
                </c:pt>
                <c:pt idx="30">
                  <c:v>9.4666666666666668</c:v>
                </c:pt>
                <c:pt idx="31">
                  <c:v>9.5</c:v>
                </c:pt>
                <c:pt idx="32">
                  <c:v>9.0333333333333332</c:v>
                </c:pt>
                <c:pt idx="33">
                  <c:v>9.0666666666666664</c:v>
                </c:pt>
                <c:pt idx="34">
                  <c:v>9</c:v>
                </c:pt>
                <c:pt idx="35">
                  <c:v>8.6333333333333329</c:v>
                </c:pt>
                <c:pt idx="36">
                  <c:v>8.2666666666666675</c:v>
                </c:pt>
                <c:pt idx="37">
                  <c:v>8.1999999999999993</c:v>
                </c:pt>
                <c:pt idx="38">
                  <c:v>8.0333333333333332</c:v>
                </c:pt>
                <c:pt idx="39">
                  <c:v>7.8</c:v>
                </c:pt>
                <c:pt idx="40">
                  <c:v>7.7333333333333334</c:v>
                </c:pt>
                <c:pt idx="41">
                  <c:v>7.5333333333333332</c:v>
                </c:pt>
                <c:pt idx="42">
                  <c:v>7.2333333333333334</c:v>
                </c:pt>
                <c:pt idx="43">
                  <c:v>6.9333333333333336</c:v>
                </c:pt>
                <c:pt idx="44">
                  <c:v>6.666666666666667</c:v>
                </c:pt>
                <c:pt idx="45">
                  <c:v>6.2</c:v>
                </c:pt>
                <c:pt idx="46">
                  <c:v>6.0666666666666664</c:v>
                </c:pt>
                <c:pt idx="47">
                  <c:v>5.7</c:v>
                </c:pt>
                <c:pt idx="48">
                  <c:v>5.5333333333333332</c:v>
                </c:pt>
                <c:pt idx="49">
                  <c:v>5.4333333333333336</c:v>
                </c:pt>
                <c:pt idx="50">
                  <c:v>5.0999999999999996</c:v>
                </c:pt>
                <c:pt idx="51">
                  <c:v>5.0333333333333332</c:v>
                </c:pt>
                <c:pt idx="52">
                  <c:v>4.9000000000000004</c:v>
                </c:pt>
                <c:pt idx="53">
                  <c:v>4.9333333333333336</c:v>
                </c:pt>
                <c:pt idx="54">
                  <c:v>4.9000000000000004</c:v>
                </c:pt>
                <c:pt idx="55">
                  <c:v>4.7666666666666666</c:v>
                </c:pt>
                <c:pt idx="56">
                  <c:v>4.5666666666666664</c:v>
                </c:pt>
                <c:pt idx="57">
                  <c:v>4.4000000000000004</c:v>
                </c:pt>
                <c:pt idx="58">
                  <c:v>4.3</c:v>
                </c:pt>
                <c:pt idx="59">
                  <c:v>4.1333333333333329</c:v>
                </c:pt>
                <c:pt idx="60">
                  <c:v>4.0333333333333332</c:v>
                </c:pt>
                <c:pt idx="61">
                  <c:v>3.9333333333333331</c:v>
                </c:pt>
                <c:pt idx="62">
                  <c:v>3.7666666666666666</c:v>
                </c:pt>
                <c:pt idx="63">
                  <c:v>3.8333333333333335</c:v>
                </c:pt>
                <c:pt idx="64">
                  <c:v>3.8666666666666667</c:v>
                </c:pt>
                <c:pt idx="65">
                  <c:v>3.6666666666666665</c:v>
                </c:pt>
                <c:pt idx="66">
                  <c:v>3.6</c:v>
                </c:pt>
                <c:pt idx="67">
                  <c:v>3.6</c:v>
                </c:pt>
                <c:pt idx="68">
                  <c:v>3.8</c:v>
                </c:pt>
                <c:pt idx="69">
                  <c:v>13.066666666666666</c:v>
                </c:pt>
                <c:pt idx="70">
                  <c:v>8.8000000000000007</c:v>
                </c:pt>
              </c:numCache>
            </c:numRef>
          </c:val>
          <c:smooth val="0"/>
          <c:extLst>
            <c:ext xmlns:c16="http://schemas.microsoft.com/office/drawing/2014/chart" uri="{C3380CC4-5D6E-409C-BE32-E72D297353CC}">
              <c16:uniqueId val="{00000003-1A90-4BDF-89BA-4E38625A59D1}"/>
            </c:ext>
          </c:extLst>
        </c:ser>
        <c:dLbls>
          <c:showLegendKey val="0"/>
          <c:showVal val="0"/>
          <c:showCatName val="0"/>
          <c:showSerName val="0"/>
          <c:showPercent val="0"/>
          <c:showBubbleSize val="0"/>
        </c:dLbls>
        <c:marker val="1"/>
        <c:smooth val="0"/>
        <c:axId val="483665024"/>
        <c:axId val="483668960"/>
      </c:lineChart>
      <c:catAx>
        <c:axId val="5373822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90096"/>
        <c:crosses val="autoZero"/>
        <c:auto val="1"/>
        <c:lblAlgn val="ctr"/>
        <c:lblOffset val="100"/>
        <c:tickLblSkip val="2"/>
        <c:tickMarkSkip val="1"/>
        <c:noMultiLvlLbl val="0"/>
      </c:catAx>
      <c:valAx>
        <c:axId val="537390096"/>
        <c:scaling>
          <c:orientation val="minMax"/>
          <c:max val="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500" b="0">
                    <a:solidFill>
                      <a:schemeClr val="tx1"/>
                    </a:solidFill>
                    <a:latin typeface="Times New Roman" panose="02020603050405020304" pitchFamily="18" charset="0"/>
                    <a:cs typeface="Times New Roman" panose="02020603050405020304" pitchFamily="18" charset="0"/>
                  </a:rPr>
                  <a:t>Miles de millones de dólares</a:t>
                </a:r>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82224"/>
        <c:crosses val="autoZero"/>
        <c:crossBetween val="between"/>
        <c:majorUnit val="1000"/>
      </c:valAx>
      <c:valAx>
        <c:axId val="483668960"/>
        <c:scaling>
          <c:orientation val="minMax"/>
          <c:max val="15"/>
          <c:min val="-10"/>
        </c:scaling>
        <c:delete val="0"/>
        <c:axPos val="r"/>
        <c:title>
          <c:tx>
            <c:rich>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700">
                    <a:solidFill>
                      <a:schemeClr val="tx1"/>
                    </a:solidFill>
                    <a:latin typeface="Times New Roman" panose="02020603050405020304" pitchFamily="18" charset="0"/>
                    <a:cs typeface="Times New Roman" panose="02020603050405020304" pitchFamily="18" charset="0"/>
                  </a:rPr>
                  <a:t>%</a:t>
                </a:r>
              </a:p>
            </c:rich>
          </c:tx>
          <c:layout>
            <c:manualLayout>
              <c:xMode val="edge"/>
              <c:yMode val="edge"/>
              <c:x val="0.96273054971998151"/>
              <c:y val="0.3629307819080754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483665024"/>
        <c:crosses val="max"/>
        <c:crossBetween val="between"/>
        <c:majorUnit val="5"/>
      </c:valAx>
      <c:catAx>
        <c:axId val="483665024"/>
        <c:scaling>
          <c:orientation val="minMax"/>
        </c:scaling>
        <c:delete val="1"/>
        <c:axPos val="b"/>
        <c:numFmt formatCode="General" sourceLinked="1"/>
        <c:majorTickMark val="out"/>
        <c:minorTickMark val="none"/>
        <c:tickLblPos val="nextTo"/>
        <c:crossAx val="483668960"/>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5.5888062977432228E-2"/>
          <c:y val="0.93917910066689136"/>
          <c:w val="0.85047735083922826"/>
          <c:h val="4.7513438245381949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3297680667176"/>
          <c:y val="5.9467682982253342E-2"/>
          <c:w val="0.79396504092233722"/>
          <c:h val="0.66031366449564166"/>
        </c:manualLayout>
      </c:layout>
      <c:barChart>
        <c:barDir val="col"/>
        <c:grouping val="stacked"/>
        <c:varyColors val="0"/>
        <c:ser>
          <c:idx val="2"/>
          <c:order val="2"/>
          <c:spPr>
            <a:solidFill>
              <a:schemeClr val="accent3"/>
            </a:solidFill>
            <a:ln w="63500" cmpd="sng">
              <a:solidFill>
                <a:schemeClr val="bg1">
                  <a:lumMod val="95000"/>
                </a:schemeClr>
              </a:solidFill>
            </a:ln>
            <a:effectLst/>
          </c:spPr>
          <c:invertIfNegative val="0"/>
          <c:cat>
            <c:strRef>
              <c:f>Gráficas!$AC$12:$AC$82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Gráficas!$AL$12:$AL$82</c:f>
              <c:numCache>
                <c:formatCode>General</c:formatCode>
                <c:ptCount val="71"/>
                <c:pt idx="20" formatCode="0">
                  <c:v>5000</c:v>
                </c:pt>
                <c:pt idx="21" formatCode="0">
                  <c:v>5000</c:v>
                </c:pt>
                <c:pt idx="22" formatCode="0">
                  <c:v>5000</c:v>
                </c:pt>
                <c:pt idx="23" formatCode="0">
                  <c:v>5000</c:v>
                </c:pt>
                <c:pt idx="24" formatCode="0">
                  <c:v>5000</c:v>
                </c:pt>
                <c:pt idx="25" formatCode="0">
                  <c:v>5000</c:v>
                </c:pt>
                <c:pt idx="26" formatCode="0">
                  <c:v>5000</c:v>
                </c:pt>
                <c:pt idx="27" formatCode="0">
                  <c:v>5000</c:v>
                </c:pt>
                <c:pt idx="68" formatCode="0">
                  <c:v>5000</c:v>
                </c:pt>
                <c:pt idx="69" formatCode="0">
                  <c:v>5000</c:v>
                </c:pt>
                <c:pt idx="70" formatCode="0">
                  <c:v>5000</c:v>
                </c:pt>
              </c:numCache>
            </c:numRef>
          </c:val>
          <c:extLst>
            <c:ext xmlns:c16="http://schemas.microsoft.com/office/drawing/2014/chart" uri="{C3380CC4-5D6E-409C-BE32-E72D297353CC}">
              <c16:uniqueId val="{00000000-BADC-43F2-A6B3-1BF026E2DC4B}"/>
            </c:ext>
          </c:extLst>
        </c:ser>
        <c:dLbls>
          <c:showLegendKey val="0"/>
          <c:showVal val="0"/>
          <c:showCatName val="0"/>
          <c:showSerName val="0"/>
          <c:showPercent val="0"/>
          <c:showBubbleSize val="0"/>
        </c:dLbls>
        <c:gapWidth val="150"/>
        <c:overlap val="100"/>
        <c:axId val="537382224"/>
        <c:axId val="537390096"/>
      </c:barChart>
      <c:lineChart>
        <c:grouping val="standard"/>
        <c:varyColors val="0"/>
        <c:ser>
          <c:idx val="0"/>
          <c:order val="0"/>
          <c:tx>
            <c:v>Hoja de Balance</c:v>
          </c:tx>
          <c:spPr>
            <a:ln w="9525" cap="rnd">
              <a:solidFill>
                <a:schemeClr val="tx1"/>
              </a:solidFill>
              <a:prstDash val="solid"/>
              <a:round/>
            </a:ln>
            <a:effectLst/>
          </c:spPr>
          <c:marker>
            <c:symbol val="none"/>
          </c:marker>
          <c:cat>
            <c:strRef>
              <c:f>Gráficas!$AE$12:$AE$82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Gráficas!$AW$12:$AW$82</c:f>
              <c:numCache>
                <c:formatCode>0</c:formatCode>
                <c:ptCount val="71"/>
                <c:pt idx="0">
                  <c:v>633.17461538461532</c:v>
                </c:pt>
                <c:pt idx="1">
                  <c:v>648.57730769230773</c:v>
                </c:pt>
                <c:pt idx="2">
                  <c:v>653.70192307692309</c:v>
                </c:pt>
                <c:pt idx="3">
                  <c:v>661.45849999999996</c:v>
                </c:pt>
                <c:pt idx="4">
                  <c:v>670.21299999999997</c:v>
                </c:pt>
                <c:pt idx="5">
                  <c:v>679.93876923076925</c:v>
                </c:pt>
                <c:pt idx="6">
                  <c:v>694.11584615384618</c:v>
                </c:pt>
                <c:pt idx="7">
                  <c:v>710.35638461538463</c:v>
                </c:pt>
                <c:pt idx="8">
                  <c:v>717.71915384615386</c:v>
                </c:pt>
                <c:pt idx="9">
                  <c:v>721.90200000000004</c:v>
                </c:pt>
                <c:pt idx="10">
                  <c:v>728.36115384615391</c:v>
                </c:pt>
                <c:pt idx="11">
                  <c:v>741.79053846153852</c:v>
                </c:pt>
                <c:pt idx="12">
                  <c:v>751.10946153846146</c:v>
                </c:pt>
                <c:pt idx="13">
                  <c:v>761.77084615384615</c:v>
                </c:pt>
                <c:pt idx="14">
                  <c:v>766.29323076923072</c:v>
                </c:pt>
                <c:pt idx="15">
                  <c:v>771.86307692307685</c:v>
                </c:pt>
                <c:pt idx="16">
                  <c:v>779.63915384615382</c:v>
                </c:pt>
                <c:pt idx="17">
                  <c:v>787.93607692307683</c:v>
                </c:pt>
                <c:pt idx="18">
                  <c:v>786.65830769230774</c:v>
                </c:pt>
                <c:pt idx="19">
                  <c:v>776.57038461538457</c:v>
                </c:pt>
                <c:pt idx="20">
                  <c:v>706.29615384615386</c:v>
                </c:pt>
                <c:pt idx="21">
                  <c:v>520.01561538461533</c:v>
                </c:pt>
                <c:pt idx="22">
                  <c:v>479.15761538461538</c:v>
                </c:pt>
                <c:pt idx="23">
                  <c:v>476.36692857142856</c:v>
                </c:pt>
                <c:pt idx="24">
                  <c:v>474.97199999999998</c:v>
                </c:pt>
                <c:pt idx="25">
                  <c:v>573.74507692307691</c:v>
                </c:pt>
                <c:pt idx="26">
                  <c:v>723.56871428571435</c:v>
                </c:pt>
                <c:pt idx="27">
                  <c:v>775.35469230769229</c:v>
                </c:pt>
                <c:pt idx="28">
                  <c:v>776.60761538461543</c:v>
                </c:pt>
                <c:pt idx="29">
                  <c:v>776.83515384615384</c:v>
                </c:pt>
                <c:pt idx="30">
                  <c:v>785.67</c:v>
                </c:pt>
                <c:pt idx="31">
                  <c:v>895.23515384615382</c:v>
                </c:pt>
                <c:pt idx="32">
                  <c:v>1185.9606153846155</c:v>
                </c:pt>
                <c:pt idx="33">
                  <c:v>1488.7136923076923</c:v>
                </c:pt>
                <c:pt idx="34">
                  <c:v>1646.4111538461539</c:v>
                </c:pt>
                <c:pt idx="35">
                  <c:v>1671.4340769230771</c:v>
                </c:pt>
                <c:pt idx="36">
                  <c:v>1660.2432307692306</c:v>
                </c:pt>
                <c:pt idx="37">
                  <c:v>1665.2914615384616</c:v>
                </c:pt>
                <c:pt idx="38">
                  <c:v>1649.8451538461538</c:v>
                </c:pt>
                <c:pt idx="39">
                  <c:v>1653.3123076923077</c:v>
                </c:pt>
                <c:pt idx="40">
                  <c:v>1729.2754615384615</c:v>
                </c:pt>
                <c:pt idx="41">
                  <c:v>1866.1645384615385</c:v>
                </c:pt>
                <c:pt idx="42">
                  <c:v>2002.1516923076922</c:v>
                </c:pt>
                <c:pt idx="43">
                  <c:v>2140.1359230769231</c:v>
                </c:pt>
                <c:pt idx="44">
                  <c:v>2259.9371538461542</c:v>
                </c:pt>
                <c:pt idx="45">
                  <c:v>2360.1083846153847</c:v>
                </c:pt>
                <c:pt idx="46">
                  <c:v>2426.7448461538461</c:v>
                </c:pt>
                <c:pt idx="47">
                  <c:v>2459.7306428571428</c:v>
                </c:pt>
                <c:pt idx="48">
                  <c:v>2460.4234999999999</c:v>
                </c:pt>
                <c:pt idx="49">
                  <c:v>2460.3070769230771</c:v>
                </c:pt>
                <c:pt idx="50">
                  <c:v>2461.6337142857142</c:v>
                </c:pt>
                <c:pt idx="51">
                  <c:v>2461.6993846153846</c:v>
                </c:pt>
                <c:pt idx="52">
                  <c:v>2461.2786153846155</c:v>
                </c:pt>
                <c:pt idx="53">
                  <c:v>2461.7022307692309</c:v>
                </c:pt>
                <c:pt idx="54">
                  <c:v>2463.1501538461539</c:v>
                </c:pt>
                <c:pt idx="55">
                  <c:v>2463.6039999999998</c:v>
                </c:pt>
                <c:pt idx="56">
                  <c:v>2463.6252307692312</c:v>
                </c:pt>
                <c:pt idx="57">
                  <c:v>2464.7405384615386</c:v>
                </c:pt>
                <c:pt idx="58">
                  <c:v>2465.2615384615383</c:v>
                </c:pt>
                <c:pt idx="59">
                  <c:v>2459.2160769230768</c:v>
                </c:pt>
                <c:pt idx="60">
                  <c:v>2434.9145384615385</c:v>
                </c:pt>
                <c:pt idx="61">
                  <c:v>2393.5941538461539</c:v>
                </c:pt>
                <c:pt idx="62">
                  <c:v>2333.8985384615385</c:v>
                </c:pt>
                <c:pt idx="63">
                  <c:v>2265.9145384615385</c:v>
                </c:pt>
                <c:pt idx="64">
                  <c:v>2198.6859230769228</c:v>
                </c:pt>
                <c:pt idx="65">
                  <c:v>2126.5866153846155</c:v>
                </c:pt>
                <c:pt idx="66">
                  <c:v>2093.4524615384616</c:v>
                </c:pt>
                <c:pt idx="67">
                  <c:v>2209.4364615384616</c:v>
                </c:pt>
                <c:pt idx="68">
                  <c:v>2482.342846153846</c:v>
                </c:pt>
                <c:pt idx="69">
                  <c:v>3967.1275384615383</c:v>
                </c:pt>
                <c:pt idx="70">
                  <c:v>4332.2396428571428</c:v>
                </c:pt>
              </c:numCache>
            </c:numRef>
          </c:val>
          <c:smooth val="0"/>
          <c:extLst>
            <c:ext xmlns:c16="http://schemas.microsoft.com/office/drawing/2014/chart" uri="{C3380CC4-5D6E-409C-BE32-E72D297353CC}">
              <c16:uniqueId val="{00000001-BADC-43F2-A6B3-1BF026E2DC4B}"/>
            </c:ext>
          </c:extLst>
        </c:ser>
        <c:dLbls>
          <c:showLegendKey val="0"/>
          <c:showVal val="0"/>
          <c:showCatName val="0"/>
          <c:showSerName val="0"/>
          <c:showPercent val="0"/>
          <c:showBubbleSize val="0"/>
        </c:dLbls>
        <c:marker val="1"/>
        <c:smooth val="0"/>
        <c:axId val="537382224"/>
        <c:axId val="537390096"/>
      </c:lineChart>
      <c:lineChart>
        <c:grouping val="standard"/>
        <c:varyColors val="0"/>
        <c:ser>
          <c:idx val="1"/>
          <c:order val="1"/>
          <c:tx>
            <c:v>FED</c:v>
          </c:tx>
          <c:spPr>
            <a:ln w="12700" cap="rnd">
              <a:solidFill>
                <a:schemeClr val="tx1"/>
              </a:solidFill>
              <a:prstDash val="sysDot"/>
              <a:round/>
            </a:ln>
            <a:effectLst/>
          </c:spPr>
          <c:marker>
            <c:symbol val="none"/>
          </c:marker>
          <c:cat>
            <c:strRef>
              <c:f>Gráficas!$AE$12:$AE$82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Gráficas!$AQ$12:$AQ$82</c:f>
              <c:numCache>
                <c:formatCode>0.00</c:formatCode>
                <c:ptCount val="71"/>
                <c:pt idx="0">
                  <c:v>2.25</c:v>
                </c:pt>
                <c:pt idx="1">
                  <c:v>2.1666666666666665</c:v>
                </c:pt>
                <c:pt idx="2">
                  <c:v>2</c:v>
                </c:pt>
                <c:pt idx="3">
                  <c:v>2</c:v>
                </c:pt>
                <c:pt idx="4">
                  <c:v>2</c:v>
                </c:pt>
                <c:pt idx="5">
                  <c:v>2.0833333333333335</c:v>
                </c:pt>
                <c:pt idx="6">
                  <c:v>2.5</c:v>
                </c:pt>
                <c:pt idx="7">
                  <c:v>3</c:v>
                </c:pt>
                <c:pt idx="8">
                  <c:v>3.5</c:v>
                </c:pt>
                <c:pt idx="9">
                  <c:v>4</c:v>
                </c:pt>
                <c:pt idx="10">
                  <c:v>4.5</c:v>
                </c:pt>
                <c:pt idx="11">
                  <c:v>5</c:v>
                </c:pt>
                <c:pt idx="12">
                  <c:v>5.583333333333333</c:v>
                </c:pt>
                <c:pt idx="13">
                  <c:v>6</c:v>
                </c:pt>
                <c:pt idx="14">
                  <c:v>6.25</c:v>
                </c:pt>
                <c:pt idx="15">
                  <c:v>6.25</c:v>
                </c:pt>
                <c:pt idx="16">
                  <c:v>6.25</c:v>
                </c:pt>
                <c:pt idx="17">
                  <c:v>6.25</c:v>
                </c:pt>
                <c:pt idx="18">
                  <c:v>5.75</c:v>
                </c:pt>
                <c:pt idx="19">
                  <c:v>4.916666666666667</c:v>
                </c:pt>
                <c:pt idx="20">
                  <c:v>3.1666666666666665</c:v>
                </c:pt>
                <c:pt idx="21">
                  <c:v>2.25</c:v>
                </c:pt>
                <c:pt idx="22">
                  <c:v>2.25</c:v>
                </c:pt>
                <c:pt idx="23">
                  <c:v>1</c:v>
                </c:pt>
                <c:pt idx="24">
                  <c:v>0.5</c:v>
                </c:pt>
                <c:pt idx="25">
                  <c:v>0.5</c:v>
                </c:pt>
                <c:pt idx="26">
                  <c:v>0.5</c:v>
                </c:pt>
                <c:pt idx="27">
                  <c:v>0.5</c:v>
                </c:pt>
                <c:pt idx="28">
                  <c:v>0.66666666666666663</c:v>
                </c:pt>
                <c:pt idx="29">
                  <c:v>0.75</c:v>
                </c:pt>
                <c:pt idx="30">
                  <c:v>0.75</c:v>
                </c:pt>
                <c:pt idx="31">
                  <c:v>0.75</c:v>
                </c:pt>
                <c:pt idx="32">
                  <c:v>0.75</c:v>
                </c:pt>
                <c:pt idx="33">
                  <c:v>0.75</c:v>
                </c:pt>
                <c:pt idx="34">
                  <c:v>0.75</c:v>
                </c:pt>
                <c:pt idx="35">
                  <c:v>0.75</c:v>
                </c:pt>
                <c:pt idx="36">
                  <c:v>0.75</c:v>
                </c:pt>
                <c:pt idx="37">
                  <c:v>0.75</c:v>
                </c:pt>
                <c:pt idx="38">
                  <c:v>0.75</c:v>
                </c:pt>
                <c:pt idx="39">
                  <c:v>0.75</c:v>
                </c:pt>
                <c:pt idx="40">
                  <c:v>0.75</c:v>
                </c:pt>
                <c:pt idx="41">
                  <c:v>0.75</c:v>
                </c:pt>
                <c:pt idx="42">
                  <c:v>0.75</c:v>
                </c:pt>
                <c:pt idx="43">
                  <c:v>0.75</c:v>
                </c:pt>
                <c:pt idx="44">
                  <c:v>0.75</c:v>
                </c:pt>
                <c:pt idx="45">
                  <c:v>0.75</c:v>
                </c:pt>
                <c:pt idx="46">
                  <c:v>0.75</c:v>
                </c:pt>
                <c:pt idx="47">
                  <c:v>0.75</c:v>
                </c:pt>
                <c:pt idx="48">
                  <c:v>0.75</c:v>
                </c:pt>
                <c:pt idx="49">
                  <c:v>0.75</c:v>
                </c:pt>
                <c:pt idx="50">
                  <c:v>0.75</c:v>
                </c:pt>
                <c:pt idx="51">
                  <c:v>0.83333333333333337</c:v>
                </c:pt>
                <c:pt idx="52">
                  <c:v>1</c:v>
                </c:pt>
                <c:pt idx="53">
                  <c:v>1</c:v>
                </c:pt>
                <c:pt idx="54">
                  <c:v>1</c:v>
                </c:pt>
                <c:pt idx="55">
                  <c:v>1.0833333333333333</c:v>
                </c:pt>
                <c:pt idx="56">
                  <c:v>1.3333333333333333</c:v>
                </c:pt>
                <c:pt idx="57">
                  <c:v>1.5833333333333333</c:v>
                </c:pt>
                <c:pt idx="58">
                  <c:v>1.75</c:v>
                </c:pt>
                <c:pt idx="59">
                  <c:v>1.8333333333333333</c:v>
                </c:pt>
                <c:pt idx="60">
                  <c:v>2.0833333333333335</c:v>
                </c:pt>
                <c:pt idx="61">
                  <c:v>2.3333333333333335</c:v>
                </c:pt>
                <c:pt idx="62">
                  <c:v>2.5833333333333335</c:v>
                </c:pt>
                <c:pt idx="63">
                  <c:v>2.8333333333333335</c:v>
                </c:pt>
                <c:pt idx="64">
                  <c:v>3</c:v>
                </c:pt>
                <c:pt idx="65">
                  <c:v>3</c:v>
                </c:pt>
                <c:pt idx="66">
                  <c:v>2.75</c:v>
                </c:pt>
                <c:pt idx="67">
                  <c:v>2.25</c:v>
                </c:pt>
                <c:pt idx="68">
                  <c:v>1.5833333333333333</c:v>
                </c:pt>
                <c:pt idx="69">
                  <c:v>0.25</c:v>
                </c:pt>
                <c:pt idx="70">
                  <c:v>0.25</c:v>
                </c:pt>
              </c:numCache>
            </c:numRef>
          </c:val>
          <c:smooth val="0"/>
          <c:extLst>
            <c:ext xmlns:c16="http://schemas.microsoft.com/office/drawing/2014/chart" uri="{C3380CC4-5D6E-409C-BE32-E72D297353CC}">
              <c16:uniqueId val="{00000002-BADC-43F2-A6B3-1BF026E2DC4B}"/>
            </c:ext>
          </c:extLst>
        </c:ser>
        <c:ser>
          <c:idx val="3"/>
          <c:order val="3"/>
          <c:tx>
            <c:v>3 meses</c:v>
          </c:tx>
          <c:spPr>
            <a:ln w="9525" cap="rnd">
              <a:solidFill>
                <a:schemeClr val="tx1"/>
              </a:solidFill>
              <a:prstDash val="sysDash"/>
              <a:round/>
            </a:ln>
            <a:effectLst/>
          </c:spPr>
          <c:marker>
            <c:symbol val="none"/>
          </c:marker>
          <c:val>
            <c:numRef>
              <c:f>Gráficas!$AR$12:$AR$82</c:f>
              <c:numCache>
                <c:formatCode>0.00</c:formatCode>
                <c:ptCount val="71"/>
                <c:pt idx="0">
                  <c:v>1.1566666666666667</c:v>
                </c:pt>
                <c:pt idx="1">
                  <c:v>1.04</c:v>
                </c:pt>
                <c:pt idx="2">
                  <c:v>0.93</c:v>
                </c:pt>
                <c:pt idx="3">
                  <c:v>0.91666666666666663</c:v>
                </c:pt>
                <c:pt idx="4">
                  <c:v>0.91666666666666663</c:v>
                </c:pt>
                <c:pt idx="5">
                  <c:v>1.0766666666666667</c:v>
                </c:pt>
                <c:pt idx="6">
                  <c:v>1.4866666666666668</c:v>
                </c:pt>
                <c:pt idx="7">
                  <c:v>2.0066666666666668</c:v>
                </c:pt>
                <c:pt idx="8">
                  <c:v>2.5366666666666666</c:v>
                </c:pt>
                <c:pt idx="9">
                  <c:v>2.8633333333333333</c:v>
                </c:pt>
                <c:pt idx="10">
                  <c:v>3.36</c:v>
                </c:pt>
                <c:pt idx="11">
                  <c:v>3.8266666666666667</c:v>
                </c:pt>
                <c:pt idx="12">
                  <c:v>4.3933333333333335</c:v>
                </c:pt>
                <c:pt idx="13">
                  <c:v>4.7033333333333331</c:v>
                </c:pt>
                <c:pt idx="14">
                  <c:v>4.9066666666666663</c:v>
                </c:pt>
                <c:pt idx="15">
                  <c:v>4.9033333333333333</c:v>
                </c:pt>
                <c:pt idx="16">
                  <c:v>4.9833333333333334</c:v>
                </c:pt>
                <c:pt idx="17">
                  <c:v>4.7366666666666664</c:v>
                </c:pt>
                <c:pt idx="18">
                  <c:v>4.3033333333333337</c:v>
                </c:pt>
                <c:pt idx="19">
                  <c:v>3.39</c:v>
                </c:pt>
                <c:pt idx="20">
                  <c:v>2.0433333333333334</c:v>
                </c:pt>
                <c:pt idx="21">
                  <c:v>1.6266666666666667</c:v>
                </c:pt>
                <c:pt idx="22">
                  <c:v>1.4933333333333334</c:v>
                </c:pt>
                <c:pt idx="23">
                  <c:v>0.29666666666666669</c:v>
                </c:pt>
                <c:pt idx="24">
                  <c:v>0.21333333333333335</c:v>
                </c:pt>
                <c:pt idx="25">
                  <c:v>0.17333333333333334</c:v>
                </c:pt>
                <c:pt idx="26">
                  <c:v>0.15666666666666668</c:v>
                </c:pt>
                <c:pt idx="27">
                  <c:v>5.6666666666666664E-2</c:v>
                </c:pt>
                <c:pt idx="28">
                  <c:v>0.10666666666666667</c:v>
                </c:pt>
                <c:pt idx="29">
                  <c:v>0.14666666666666667</c:v>
                </c:pt>
                <c:pt idx="30">
                  <c:v>0.15666666666666668</c:v>
                </c:pt>
                <c:pt idx="31">
                  <c:v>0.13666666666666666</c:v>
                </c:pt>
                <c:pt idx="32">
                  <c:v>0.12666666666666668</c:v>
                </c:pt>
                <c:pt idx="33">
                  <c:v>4.6666666666666669E-2</c:v>
                </c:pt>
                <c:pt idx="34">
                  <c:v>2.3333333333333334E-2</c:v>
                </c:pt>
                <c:pt idx="35">
                  <c:v>1.3333333333333334E-2</c:v>
                </c:pt>
                <c:pt idx="36">
                  <c:v>6.6666666666666666E-2</c:v>
                </c:pt>
                <c:pt idx="37">
                  <c:v>8.666666666666667E-2</c:v>
                </c:pt>
                <c:pt idx="38">
                  <c:v>0.10333333333333333</c:v>
                </c:pt>
                <c:pt idx="39">
                  <c:v>8.666666666666667E-2</c:v>
                </c:pt>
                <c:pt idx="40">
                  <c:v>8.666666666666667E-2</c:v>
                </c:pt>
                <c:pt idx="41">
                  <c:v>0.05</c:v>
                </c:pt>
                <c:pt idx="42">
                  <c:v>3.3333333333333333E-2</c:v>
                </c:pt>
                <c:pt idx="43">
                  <c:v>6.3333333333333339E-2</c:v>
                </c:pt>
                <c:pt idx="44">
                  <c:v>4.6666666666666669E-2</c:v>
                </c:pt>
                <c:pt idx="45">
                  <c:v>3.3333333333333333E-2</c:v>
                </c:pt>
                <c:pt idx="46">
                  <c:v>2.6666666666666668E-2</c:v>
                </c:pt>
                <c:pt idx="47">
                  <c:v>2.3333333333333334E-2</c:v>
                </c:pt>
                <c:pt idx="48">
                  <c:v>2.6666666666666668E-2</c:v>
                </c:pt>
                <c:pt idx="49">
                  <c:v>0.02</c:v>
                </c:pt>
                <c:pt idx="50">
                  <c:v>0.04</c:v>
                </c:pt>
                <c:pt idx="51">
                  <c:v>0.12333333333333334</c:v>
                </c:pt>
                <c:pt idx="52">
                  <c:v>0.28666666666666668</c:v>
                </c:pt>
                <c:pt idx="53">
                  <c:v>0.25666666666666665</c:v>
                </c:pt>
                <c:pt idx="54">
                  <c:v>0.29666666666666669</c:v>
                </c:pt>
                <c:pt idx="55">
                  <c:v>0.43</c:v>
                </c:pt>
                <c:pt idx="56">
                  <c:v>0.59</c:v>
                </c:pt>
                <c:pt idx="57">
                  <c:v>0.89</c:v>
                </c:pt>
                <c:pt idx="58">
                  <c:v>1.0366666666666666</c:v>
                </c:pt>
                <c:pt idx="59">
                  <c:v>1.2066666666666668</c:v>
                </c:pt>
                <c:pt idx="60">
                  <c:v>1.56</c:v>
                </c:pt>
                <c:pt idx="61">
                  <c:v>1.84</c:v>
                </c:pt>
                <c:pt idx="62">
                  <c:v>2.04</c:v>
                </c:pt>
                <c:pt idx="63">
                  <c:v>2.3166666666666669</c:v>
                </c:pt>
                <c:pt idx="64">
                  <c:v>2.3866666666666667</c:v>
                </c:pt>
                <c:pt idx="65">
                  <c:v>2.2999999999999998</c:v>
                </c:pt>
                <c:pt idx="66">
                  <c:v>1.98</c:v>
                </c:pt>
                <c:pt idx="67">
                  <c:v>1.5766666666666667</c:v>
                </c:pt>
                <c:pt idx="68">
                  <c:v>1.1100000000000001</c:v>
                </c:pt>
                <c:pt idx="69">
                  <c:v>0.14333333333333334</c:v>
                </c:pt>
                <c:pt idx="70">
                  <c:v>0.11333333333333333</c:v>
                </c:pt>
              </c:numCache>
            </c:numRef>
          </c:val>
          <c:smooth val="0"/>
          <c:extLst>
            <c:ext xmlns:c16="http://schemas.microsoft.com/office/drawing/2014/chart" uri="{C3380CC4-5D6E-409C-BE32-E72D297353CC}">
              <c16:uniqueId val="{00000003-BADC-43F2-A6B3-1BF026E2DC4B}"/>
            </c:ext>
          </c:extLst>
        </c:ser>
        <c:ser>
          <c:idx val="4"/>
          <c:order val="4"/>
          <c:tx>
            <c:v>10 años</c:v>
          </c:tx>
          <c:spPr>
            <a:ln w="9525" cap="rnd">
              <a:solidFill>
                <a:schemeClr val="tx1"/>
              </a:solidFill>
              <a:prstDash val="sysDash"/>
              <a:round/>
            </a:ln>
            <a:effectLst/>
          </c:spPr>
          <c:marker>
            <c:symbol val="none"/>
          </c:marker>
          <c:val>
            <c:numRef>
              <c:f>Gráficas!$AT$12:$AT$82</c:f>
              <c:numCache>
                <c:formatCode>0.00</c:formatCode>
                <c:ptCount val="71"/>
                <c:pt idx="0">
                  <c:v>3.92</c:v>
                </c:pt>
                <c:pt idx="1">
                  <c:v>3.6206349206349207</c:v>
                </c:pt>
                <c:pt idx="2">
                  <c:v>4.2276562499999999</c:v>
                </c:pt>
                <c:pt idx="3">
                  <c:v>4.2851612903225806</c:v>
                </c:pt>
                <c:pt idx="4">
                  <c:v>4.01</c:v>
                </c:pt>
                <c:pt idx="5">
                  <c:v>4.597096774193548</c:v>
                </c:pt>
                <c:pt idx="6">
                  <c:v>4.3014062500000003</c:v>
                </c:pt>
                <c:pt idx="7">
                  <c:v>4.1758064516129032</c:v>
                </c:pt>
                <c:pt idx="8">
                  <c:v>4.3036065573770488</c:v>
                </c:pt>
                <c:pt idx="9">
                  <c:v>4.1585937499999996</c:v>
                </c:pt>
                <c:pt idx="10">
                  <c:v>4.2151562499999997</c:v>
                </c:pt>
                <c:pt idx="11">
                  <c:v>4.4881967213114757</c:v>
                </c:pt>
                <c:pt idx="12">
                  <c:v>4.5770967741935484</c:v>
                </c:pt>
                <c:pt idx="13">
                  <c:v>5.0726984126984123</c:v>
                </c:pt>
                <c:pt idx="14">
                  <c:v>4.8934920634920633</c:v>
                </c:pt>
                <c:pt idx="15">
                  <c:v>4.6306451612903228</c:v>
                </c:pt>
                <c:pt idx="16">
                  <c:v>4.6790322580645158</c:v>
                </c:pt>
                <c:pt idx="17">
                  <c:v>4.8460937499999996</c:v>
                </c:pt>
                <c:pt idx="18">
                  <c:v>4.7384126984126986</c:v>
                </c:pt>
                <c:pt idx="19">
                  <c:v>4.2666129032258064</c:v>
                </c:pt>
                <c:pt idx="20">
                  <c:v>3.6652459016393442</c:v>
                </c:pt>
                <c:pt idx="21">
                  <c:v>3.8815624999999998</c:v>
                </c:pt>
                <c:pt idx="22">
                  <c:v>3.8621875000000001</c:v>
                </c:pt>
                <c:pt idx="23">
                  <c:v>3.2346774193548389</c:v>
                </c:pt>
                <c:pt idx="24">
                  <c:v>2.7362295081967214</c:v>
                </c:pt>
                <c:pt idx="25">
                  <c:v>3.3207936507936506</c:v>
                </c:pt>
                <c:pt idx="26">
                  <c:v>3.5178124999999998</c:v>
                </c:pt>
                <c:pt idx="27">
                  <c:v>3.464032258064516</c:v>
                </c:pt>
                <c:pt idx="28">
                  <c:v>3.7178688524590164</c:v>
                </c:pt>
                <c:pt idx="29">
                  <c:v>3.4925000000000002</c:v>
                </c:pt>
                <c:pt idx="30">
                  <c:v>2.7845312500000001</c:v>
                </c:pt>
                <c:pt idx="31">
                  <c:v>2.8783870967741936</c:v>
                </c:pt>
                <c:pt idx="32">
                  <c:v>3.4574193548387098</c:v>
                </c:pt>
                <c:pt idx="33">
                  <c:v>3.2014285714285715</c:v>
                </c:pt>
                <c:pt idx="34">
                  <c:v>2.4142187499999999</c:v>
                </c:pt>
                <c:pt idx="35">
                  <c:v>2.0467213114754097</c:v>
                </c:pt>
                <c:pt idx="36">
                  <c:v>2.04</c:v>
                </c:pt>
                <c:pt idx="37">
                  <c:v>1.8257812499999999</c:v>
                </c:pt>
                <c:pt idx="38">
                  <c:v>1.6412698412698412</c:v>
                </c:pt>
                <c:pt idx="39">
                  <c:v>1.7070491803278689</c:v>
                </c:pt>
                <c:pt idx="40">
                  <c:v>1.9510000000000001</c:v>
                </c:pt>
                <c:pt idx="41">
                  <c:v>1.9862500000000001</c:v>
                </c:pt>
                <c:pt idx="42">
                  <c:v>2.7065625</c:v>
                </c:pt>
                <c:pt idx="43">
                  <c:v>2.7441935483870967</c:v>
                </c:pt>
                <c:pt idx="44">
                  <c:v>2.7654098360655737</c:v>
                </c:pt>
                <c:pt idx="45">
                  <c:v>2.6209523809523811</c:v>
                </c:pt>
                <c:pt idx="46">
                  <c:v>2.49953125</c:v>
                </c:pt>
                <c:pt idx="47">
                  <c:v>2.2759677419354838</c:v>
                </c:pt>
                <c:pt idx="48">
                  <c:v>1.9688524590163934</c:v>
                </c:pt>
                <c:pt idx="49">
                  <c:v>2.1643750000000002</c:v>
                </c:pt>
                <c:pt idx="50">
                  <c:v>2.223125</c:v>
                </c:pt>
                <c:pt idx="51">
                  <c:v>2.1904838709677419</c:v>
                </c:pt>
                <c:pt idx="52">
                  <c:v>1.9142622950819672</c:v>
                </c:pt>
                <c:pt idx="53">
                  <c:v>1.7501562500000001</c:v>
                </c:pt>
                <c:pt idx="54">
                  <c:v>1.5643750000000001</c:v>
                </c:pt>
                <c:pt idx="55">
                  <c:v>2.1386885245901639</c:v>
                </c:pt>
                <c:pt idx="56">
                  <c:v>2.4466129032258066</c:v>
                </c:pt>
                <c:pt idx="57">
                  <c:v>2.2609523809523808</c:v>
                </c:pt>
                <c:pt idx="58">
                  <c:v>2.2414285714285715</c:v>
                </c:pt>
                <c:pt idx="59">
                  <c:v>2.3714516129032259</c:v>
                </c:pt>
                <c:pt idx="60">
                  <c:v>2.7585245901639346</c:v>
                </c:pt>
                <c:pt idx="61">
                  <c:v>2.9206249999999998</c:v>
                </c:pt>
                <c:pt idx="62">
                  <c:v>2.9238095238095236</c:v>
                </c:pt>
                <c:pt idx="63">
                  <c:v>3.0411475409836064</c:v>
                </c:pt>
                <c:pt idx="64">
                  <c:v>2.6529508196721312</c:v>
                </c:pt>
                <c:pt idx="65">
                  <c:v>2.338888888888889</c:v>
                </c:pt>
                <c:pt idx="66">
                  <c:v>1.7979687499999999</c:v>
                </c:pt>
                <c:pt idx="67">
                  <c:v>1.7919354838709678</c:v>
                </c:pt>
                <c:pt idx="68">
                  <c:v>1.365</c:v>
                </c:pt>
                <c:pt idx="69">
                  <c:v>0.68761904761904757</c:v>
                </c:pt>
                <c:pt idx="70">
                  <c:v>0.65062500000000001</c:v>
                </c:pt>
              </c:numCache>
            </c:numRef>
          </c:val>
          <c:smooth val="0"/>
          <c:extLst>
            <c:ext xmlns:c16="http://schemas.microsoft.com/office/drawing/2014/chart" uri="{C3380CC4-5D6E-409C-BE32-E72D297353CC}">
              <c16:uniqueId val="{00000004-BADC-43F2-A6B3-1BF026E2DC4B}"/>
            </c:ext>
          </c:extLst>
        </c:ser>
        <c:ser>
          <c:idx val="5"/>
          <c:order val="5"/>
          <c:tx>
            <c:v>30 años</c:v>
          </c:tx>
          <c:spPr>
            <a:ln w="9525" cap="rnd">
              <a:solidFill>
                <a:schemeClr val="tx1"/>
              </a:solidFill>
              <a:prstDash val="lgDash"/>
              <a:round/>
            </a:ln>
            <a:effectLst/>
          </c:spPr>
          <c:marker>
            <c:symbol val="none"/>
          </c:marker>
          <c:val>
            <c:numRef>
              <c:f>Gráficas!$AU$12:$AU$82</c:f>
              <c:numCache>
                <c:formatCode>0.00</c:formatCode>
                <c:ptCount val="71"/>
                <c:pt idx="0">
                  <c:v>5.0644262295081965</c:v>
                </c:pt>
                <c:pt idx="1">
                  <c:v>4.8361904761904766</c:v>
                </c:pt>
                <c:pt idx="2">
                  <c:v>5.2806249999999997</c:v>
                </c:pt>
                <c:pt idx="3">
                  <c:v>5.253709677419355</c:v>
                </c:pt>
                <c:pt idx="4">
                  <c:v>5.028548387096774</c:v>
                </c:pt>
                <c:pt idx="5">
                  <c:v>5.4198387096774194</c:v>
                </c:pt>
                <c:pt idx="6">
                  <c:v>5.1453125000000002</c:v>
                </c:pt>
                <c:pt idx="7">
                  <c:v>4.9335483870967742</c:v>
                </c:pt>
                <c:pt idx="8">
                  <c:v>4.7042622950819668</c:v>
                </c:pt>
                <c:pt idx="9">
                  <c:v>4.4701562499999996</c:v>
                </c:pt>
                <c:pt idx="10">
                  <c:v>4.4251562499999997</c:v>
                </c:pt>
                <c:pt idx="11">
                  <c:v>4.654262295081967</c:v>
                </c:pt>
                <c:pt idx="12">
                  <c:v>4.632741935483871</c:v>
                </c:pt>
                <c:pt idx="13">
                  <c:v>5.143015873015873</c:v>
                </c:pt>
                <c:pt idx="14">
                  <c:v>4.9942857142857147</c:v>
                </c:pt>
                <c:pt idx="15">
                  <c:v>4.741935483870968</c:v>
                </c:pt>
                <c:pt idx="16">
                  <c:v>4.7964516129032262</c:v>
                </c:pt>
                <c:pt idx="17">
                  <c:v>4.9889062500000003</c:v>
                </c:pt>
                <c:pt idx="18">
                  <c:v>4.9488888888888889</c:v>
                </c:pt>
                <c:pt idx="19">
                  <c:v>4.6122580645161291</c:v>
                </c:pt>
                <c:pt idx="20">
                  <c:v>4.4121311475409835</c:v>
                </c:pt>
                <c:pt idx="21">
                  <c:v>4.5740625000000001</c:v>
                </c:pt>
                <c:pt idx="22">
                  <c:v>4.44921875</c:v>
                </c:pt>
                <c:pt idx="23">
                  <c:v>3.661774193548387</c:v>
                </c:pt>
                <c:pt idx="24">
                  <c:v>3.4567213114754098</c:v>
                </c:pt>
                <c:pt idx="25">
                  <c:v>4.1723809523809523</c:v>
                </c:pt>
                <c:pt idx="26">
                  <c:v>4.3224999999999998</c:v>
                </c:pt>
                <c:pt idx="27">
                  <c:v>4.3356451612903228</c:v>
                </c:pt>
                <c:pt idx="28">
                  <c:v>4.624426229508197</c:v>
                </c:pt>
                <c:pt idx="29">
                  <c:v>4.3715624999999996</c:v>
                </c:pt>
                <c:pt idx="30">
                  <c:v>3.8560937499999999</c:v>
                </c:pt>
                <c:pt idx="31">
                  <c:v>4.1670967741935483</c:v>
                </c:pt>
                <c:pt idx="32">
                  <c:v>4.5591935483870971</c:v>
                </c:pt>
                <c:pt idx="33">
                  <c:v>4.3382539682539685</c:v>
                </c:pt>
                <c:pt idx="34">
                  <c:v>3.6909375</c:v>
                </c:pt>
                <c:pt idx="35">
                  <c:v>3.040983606557377</c:v>
                </c:pt>
                <c:pt idx="36">
                  <c:v>3.1433870967741937</c:v>
                </c:pt>
                <c:pt idx="37">
                  <c:v>2.9376562499999999</c:v>
                </c:pt>
                <c:pt idx="38">
                  <c:v>2.7439682539682542</c:v>
                </c:pt>
                <c:pt idx="39">
                  <c:v>2.8631147540983606</c:v>
                </c:pt>
                <c:pt idx="40">
                  <c:v>3.1346666666666665</c:v>
                </c:pt>
                <c:pt idx="41">
                  <c:v>3.140625</c:v>
                </c:pt>
                <c:pt idx="42">
                  <c:v>3.714375</c:v>
                </c:pt>
                <c:pt idx="43">
                  <c:v>3.7861290322580645</c:v>
                </c:pt>
                <c:pt idx="44">
                  <c:v>3.6849180327868853</c:v>
                </c:pt>
                <c:pt idx="45">
                  <c:v>3.4425396825396826</c:v>
                </c:pt>
                <c:pt idx="46">
                  <c:v>3.2653124999999998</c:v>
                </c:pt>
                <c:pt idx="47">
                  <c:v>2.9661290322580647</c:v>
                </c:pt>
                <c:pt idx="48">
                  <c:v>2.5514754098360655</c:v>
                </c:pt>
                <c:pt idx="49">
                  <c:v>2.8820312499999998</c:v>
                </c:pt>
                <c:pt idx="50">
                  <c:v>2.96</c:v>
                </c:pt>
                <c:pt idx="51">
                  <c:v>2.9606451612903224</c:v>
                </c:pt>
                <c:pt idx="52">
                  <c:v>2.7185245901639346</c:v>
                </c:pt>
                <c:pt idx="53">
                  <c:v>2.5659375</c:v>
                </c:pt>
                <c:pt idx="54">
                  <c:v>2.2799999999999998</c:v>
                </c:pt>
                <c:pt idx="55">
                  <c:v>2.83</c:v>
                </c:pt>
                <c:pt idx="56">
                  <c:v>3.0461290322580643</c:v>
                </c:pt>
                <c:pt idx="57">
                  <c:v>2.896984126984127</c:v>
                </c:pt>
                <c:pt idx="58">
                  <c:v>2.8174603174603177</c:v>
                </c:pt>
                <c:pt idx="59">
                  <c:v>2.8167741935483872</c:v>
                </c:pt>
                <c:pt idx="60">
                  <c:v>3.0301639344262297</c:v>
                </c:pt>
                <c:pt idx="61">
                  <c:v>3.0853125000000001</c:v>
                </c:pt>
                <c:pt idx="62">
                  <c:v>3.063015873015873</c:v>
                </c:pt>
                <c:pt idx="63">
                  <c:v>3.2706557377049181</c:v>
                </c:pt>
                <c:pt idx="64">
                  <c:v>3.0118032786885247</c:v>
                </c:pt>
                <c:pt idx="65">
                  <c:v>2.7814285714285716</c:v>
                </c:pt>
                <c:pt idx="66">
                  <c:v>2.2871874999999999</c:v>
                </c:pt>
                <c:pt idx="67">
                  <c:v>2.2543548387096775</c:v>
                </c:pt>
                <c:pt idx="68">
                  <c:v>1.8708064516129033</c:v>
                </c:pt>
                <c:pt idx="69">
                  <c:v>1.3807936507936509</c:v>
                </c:pt>
                <c:pt idx="70">
                  <c:v>1.3629687500000001</c:v>
                </c:pt>
              </c:numCache>
            </c:numRef>
          </c:val>
          <c:smooth val="0"/>
          <c:extLst>
            <c:ext xmlns:c16="http://schemas.microsoft.com/office/drawing/2014/chart" uri="{C3380CC4-5D6E-409C-BE32-E72D297353CC}">
              <c16:uniqueId val="{00000005-BADC-43F2-A6B3-1BF026E2DC4B}"/>
            </c:ext>
          </c:extLst>
        </c:ser>
        <c:dLbls>
          <c:showLegendKey val="0"/>
          <c:showVal val="0"/>
          <c:showCatName val="0"/>
          <c:showSerName val="0"/>
          <c:showPercent val="0"/>
          <c:showBubbleSize val="0"/>
        </c:dLbls>
        <c:marker val="1"/>
        <c:smooth val="0"/>
        <c:axId val="483665024"/>
        <c:axId val="483668960"/>
      </c:lineChart>
      <c:catAx>
        <c:axId val="5373822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90096"/>
        <c:crosses val="autoZero"/>
        <c:auto val="1"/>
        <c:lblAlgn val="ctr"/>
        <c:lblOffset val="100"/>
        <c:tickLblSkip val="2"/>
        <c:tickMarkSkip val="1"/>
        <c:noMultiLvlLbl val="0"/>
      </c:catAx>
      <c:valAx>
        <c:axId val="537390096"/>
        <c:scaling>
          <c:orientation val="minMax"/>
          <c:max val="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500" b="0">
                    <a:solidFill>
                      <a:schemeClr val="tx1"/>
                    </a:solidFill>
                    <a:latin typeface="Times New Roman" panose="02020603050405020304" pitchFamily="18" charset="0"/>
                    <a:cs typeface="Times New Roman" panose="02020603050405020304" pitchFamily="18" charset="0"/>
                  </a:rPr>
                  <a:t>Miles de millones de dólares</a:t>
                </a:r>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82224"/>
        <c:crosses val="autoZero"/>
        <c:crossBetween val="between"/>
        <c:majorUnit val="1000"/>
      </c:valAx>
      <c:valAx>
        <c:axId val="483668960"/>
        <c:scaling>
          <c:orientation val="minMax"/>
          <c:max val="10"/>
          <c:min val="0"/>
        </c:scaling>
        <c:delete val="0"/>
        <c:axPos val="r"/>
        <c:title>
          <c:tx>
            <c:rich>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50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483665024"/>
        <c:crosses val="max"/>
        <c:crossBetween val="between"/>
        <c:majorUnit val="2"/>
      </c:valAx>
      <c:catAx>
        <c:axId val="483665024"/>
        <c:scaling>
          <c:orientation val="minMax"/>
        </c:scaling>
        <c:delete val="1"/>
        <c:axPos val="b"/>
        <c:numFmt formatCode="General" sourceLinked="1"/>
        <c:majorTickMark val="out"/>
        <c:minorTickMark val="none"/>
        <c:tickLblPos val="nextTo"/>
        <c:crossAx val="483668960"/>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0"/>
          <c:y val="0.8847534136054005"/>
          <c:w val="1"/>
          <c:h val="0.1152465863945995"/>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489046257141"/>
          <c:y val="5.9467682982253342E-2"/>
          <c:w val="0.77753492158402437"/>
          <c:h val="0.703559435406926"/>
        </c:manualLayout>
      </c:layout>
      <c:barChart>
        <c:barDir val="col"/>
        <c:grouping val="clustered"/>
        <c:varyColors val="0"/>
        <c:ser>
          <c:idx val="2"/>
          <c:order val="2"/>
          <c:spPr>
            <a:solidFill>
              <a:schemeClr val="accent3"/>
            </a:solidFill>
            <a:ln w="63500" cmpd="sng">
              <a:solidFill>
                <a:schemeClr val="bg1">
                  <a:lumMod val="95000"/>
                </a:schemeClr>
              </a:solidFill>
            </a:ln>
            <a:effectLst/>
          </c:spPr>
          <c:invertIfNegative val="0"/>
          <c:val>
            <c:numRef>
              <c:f>Gráficas!$S$12:$S$82</c:f>
              <c:numCache>
                <c:formatCode>General</c:formatCode>
                <c:ptCount val="71"/>
                <c:pt idx="20" formatCode="0">
                  <c:v>5000</c:v>
                </c:pt>
                <c:pt idx="21" formatCode="0">
                  <c:v>5000</c:v>
                </c:pt>
                <c:pt idx="22" formatCode="0">
                  <c:v>5000</c:v>
                </c:pt>
                <c:pt idx="23" formatCode="0">
                  <c:v>5000</c:v>
                </c:pt>
                <c:pt idx="24" formatCode="0">
                  <c:v>5000</c:v>
                </c:pt>
                <c:pt idx="25" formatCode="0">
                  <c:v>5000</c:v>
                </c:pt>
                <c:pt idx="26" formatCode="0">
                  <c:v>5000</c:v>
                </c:pt>
                <c:pt idx="27" formatCode="0">
                  <c:v>5000</c:v>
                </c:pt>
                <c:pt idx="68" formatCode="0">
                  <c:v>5000</c:v>
                </c:pt>
                <c:pt idx="69" formatCode="0">
                  <c:v>5000</c:v>
                </c:pt>
                <c:pt idx="70" formatCode="0">
                  <c:v>5000</c:v>
                </c:pt>
              </c:numCache>
            </c:numRef>
          </c:val>
          <c:extLst>
            <c:ext xmlns:c16="http://schemas.microsoft.com/office/drawing/2014/chart" uri="{C3380CC4-5D6E-409C-BE32-E72D297353CC}">
              <c16:uniqueId val="{00000000-7A5D-4F04-A402-AE0AB2745D71}"/>
            </c:ext>
          </c:extLst>
        </c:ser>
        <c:dLbls>
          <c:showLegendKey val="0"/>
          <c:showVal val="0"/>
          <c:showCatName val="0"/>
          <c:showSerName val="0"/>
          <c:showPercent val="0"/>
          <c:showBubbleSize val="0"/>
        </c:dLbls>
        <c:gapWidth val="150"/>
        <c:axId val="537382224"/>
        <c:axId val="537390096"/>
      </c:barChart>
      <c:lineChart>
        <c:grouping val="standard"/>
        <c:varyColors val="0"/>
        <c:ser>
          <c:idx val="0"/>
          <c:order val="0"/>
          <c:tx>
            <c:v>Hoja de Balance</c:v>
          </c:tx>
          <c:spPr>
            <a:ln w="9525" cap="rnd">
              <a:solidFill>
                <a:schemeClr val="tx1"/>
              </a:solidFill>
              <a:prstDash val="solid"/>
              <a:round/>
            </a:ln>
            <a:effectLst/>
          </c:spPr>
          <c:marker>
            <c:symbol val="none"/>
          </c:marker>
          <c:cat>
            <c:strRef>
              <c:f>Gráficas!$C$12:$C$82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Gráficas!$Q$12:$Q$82</c:f>
              <c:numCache>
                <c:formatCode>0.0</c:formatCode>
                <c:ptCount val="71"/>
                <c:pt idx="0">
                  <c:v>633.17461538461532</c:v>
                </c:pt>
                <c:pt idx="1">
                  <c:v>648.57730769230773</c:v>
                </c:pt>
                <c:pt idx="2">
                  <c:v>653.70192307692309</c:v>
                </c:pt>
                <c:pt idx="3">
                  <c:v>661.45849999999996</c:v>
                </c:pt>
                <c:pt idx="4">
                  <c:v>670.21299999999997</c:v>
                </c:pt>
                <c:pt idx="5">
                  <c:v>679.93876923076925</c:v>
                </c:pt>
                <c:pt idx="6">
                  <c:v>694.11584615384618</c:v>
                </c:pt>
                <c:pt idx="7">
                  <c:v>710.35638461538463</c:v>
                </c:pt>
                <c:pt idx="8">
                  <c:v>717.71915384615386</c:v>
                </c:pt>
                <c:pt idx="9">
                  <c:v>721.90200000000004</c:v>
                </c:pt>
                <c:pt idx="10">
                  <c:v>728.36115384615391</c:v>
                </c:pt>
                <c:pt idx="11">
                  <c:v>741.79053846153852</c:v>
                </c:pt>
                <c:pt idx="12">
                  <c:v>751.10946153846146</c:v>
                </c:pt>
                <c:pt idx="13">
                  <c:v>761.77084615384615</c:v>
                </c:pt>
                <c:pt idx="14">
                  <c:v>766.29323076923072</c:v>
                </c:pt>
                <c:pt idx="15">
                  <c:v>771.86307692307685</c:v>
                </c:pt>
                <c:pt idx="16">
                  <c:v>779.63915384615382</c:v>
                </c:pt>
                <c:pt idx="17">
                  <c:v>787.93607692307683</c:v>
                </c:pt>
                <c:pt idx="18">
                  <c:v>786.65830769230774</c:v>
                </c:pt>
                <c:pt idx="19">
                  <c:v>776.57038461538457</c:v>
                </c:pt>
                <c:pt idx="20">
                  <c:v>706.29615384615386</c:v>
                </c:pt>
                <c:pt idx="21">
                  <c:v>520.01561538461533</c:v>
                </c:pt>
                <c:pt idx="22">
                  <c:v>479.15761538461538</c:v>
                </c:pt>
                <c:pt idx="23">
                  <c:v>476.36692857142856</c:v>
                </c:pt>
                <c:pt idx="24">
                  <c:v>474.97199999999998</c:v>
                </c:pt>
                <c:pt idx="25">
                  <c:v>573.74507692307691</c:v>
                </c:pt>
                <c:pt idx="26">
                  <c:v>723.56871428571435</c:v>
                </c:pt>
                <c:pt idx="27">
                  <c:v>775.35469230769229</c:v>
                </c:pt>
                <c:pt idx="28">
                  <c:v>776.60761538461543</c:v>
                </c:pt>
                <c:pt idx="29">
                  <c:v>776.83515384615384</c:v>
                </c:pt>
                <c:pt idx="30">
                  <c:v>785.67</c:v>
                </c:pt>
                <c:pt idx="31">
                  <c:v>895.23515384615382</c:v>
                </c:pt>
                <c:pt idx="32">
                  <c:v>1185.9606153846155</c:v>
                </c:pt>
                <c:pt idx="33">
                  <c:v>1488.7136923076923</c:v>
                </c:pt>
                <c:pt idx="34">
                  <c:v>1646.4111538461539</c:v>
                </c:pt>
                <c:pt idx="35">
                  <c:v>1671.4340769230771</c:v>
                </c:pt>
                <c:pt idx="36">
                  <c:v>1660.2432307692306</c:v>
                </c:pt>
                <c:pt idx="37">
                  <c:v>1665.2914615384616</c:v>
                </c:pt>
                <c:pt idx="38">
                  <c:v>1649.8451538461538</c:v>
                </c:pt>
                <c:pt idx="39">
                  <c:v>1653.3123076923077</c:v>
                </c:pt>
                <c:pt idx="40">
                  <c:v>1729.2754615384615</c:v>
                </c:pt>
                <c:pt idx="41">
                  <c:v>1866.1645384615385</c:v>
                </c:pt>
                <c:pt idx="42">
                  <c:v>2002.1516923076922</c:v>
                </c:pt>
                <c:pt idx="43">
                  <c:v>2140.1359230769231</c:v>
                </c:pt>
                <c:pt idx="44">
                  <c:v>2259.9371538461542</c:v>
                </c:pt>
                <c:pt idx="45">
                  <c:v>2360.1083846153847</c:v>
                </c:pt>
                <c:pt idx="46">
                  <c:v>2426.7448461538461</c:v>
                </c:pt>
                <c:pt idx="47">
                  <c:v>2459.7306428571428</c:v>
                </c:pt>
                <c:pt idx="48">
                  <c:v>2460.4234999999999</c:v>
                </c:pt>
                <c:pt idx="49">
                  <c:v>2460.3070769230771</c:v>
                </c:pt>
                <c:pt idx="50">
                  <c:v>2461.6337142857142</c:v>
                </c:pt>
                <c:pt idx="51">
                  <c:v>2461.6993846153846</c:v>
                </c:pt>
                <c:pt idx="52">
                  <c:v>2461.2786153846155</c:v>
                </c:pt>
                <c:pt idx="53">
                  <c:v>2461.7022307692309</c:v>
                </c:pt>
                <c:pt idx="54">
                  <c:v>2463.1501538461539</c:v>
                </c:pt>
                <c:pt idx="55">
                  <c:v>2463.6039999999998</c:v>
                </c:pt>
                <c:pt idx="56">
                  <c:v>2463.6252307692312</c:v>
                </c:pt>
                <c:pt idx="57">
                  <c:v>2464.7405384615386</c:v>
                </c:pt>
                <c:pt idx="58">
                  <c:v>2465.2615384615383</c:v>
                </c:pt>
                <c:pt idx="59">
                  <c:v>2459.2160769230768</c:v>
                </c:pt>
                <c:pt idx="60">
                  <c:v>2434.9145384615385</c:v>
                </c:pt>
                <c:pt idx="61">
                  <c:v>2393.5941538461539</c:v>
                </c:pt>
                <c:pt idx="62">
                  <c:v>2333.8985384615385</c:v>
                </c:pt>
                <c:pt idx="63">
                  <c:v>2265.9145384615385</c:v>
                </c:pt>
                <c:pt idx="64">
                  <c:v>2198.6859230769228</c:v>
                </c:pt>
                <c:pt idx="65">
                  <c:v>2126.5866153846155</c:v>
                </c:pt>
                <c:pt idx="66">
                  <c:v>2093.4524615384616</c:v>
                </c:pt>
                <c:pt idx="67">
                  <c:v>2209.4364615384616</c:v>
                </c:pt>
                <c:pt idx="68">
                  <c:v>2482.342846153846</c:v>
                </c:pt>
                <c:pt idx="69">
                  <c:v>3967.1275384615383</c:v>
                </c:pt>
                <c:pt idx="70">
                  <c:v>4332.2396428571428</c:v>
                </c:pt>
              </c:numCache>
            </c:numRef>
          </c:val>
          <c:smooth val="0"/>
          <c:extLst>
            <c:ext xmlns:c16="http://schemas.microsoft.com/office/drawing/2014/chart" uri="{C3380CC4-5D6E-409C-BE32-E72D297353CC}">
              <c16:uniqueId val="{00000001-7A5D-4F04-A402-AE0AB2745D71}"/>
            </c:ext>
          </c:extLst>
        </c:ser>
        <c:dLbls>
          <c:showLegendKey val="0"/>
          <c:showVal val="0"/>
          <c:showCatName val="0"/>
          <c:showSerName val="0"/>
          <c:showPercent val="0"/>
          <c:showBubbleSize val="0"/>
        </c:dLbls>
        <c:marker val="1"/>
        <c:smooth val="0"/>
        <c:axId val="537382224"/>
        <c:axId val="537390096"/>
      </c:lineChart>
      <c:lineChart>
        <c:grouping val="standard"/>
        <c:varyColors val="0"/>
        <c:ser>
          <c:idx val="1"/>
          <c:order val="1"/>
          <c:tx>
            <c:v>S&amp;P 500</c:v>
          </c:tx>
          <c:spPr>
            <a:ln w="12700" cap="rnd">
              <a:solidFill>
                <a:schemeClr val="tx1"/>
              </a:solidFill>
              <a:prstDash val="sysDot"/>
              <a:round/>
            </a:ln>
            <a:effectLst/>
          </c:spPr>
          <c:marker>
            <c:symbol val="none"/>
          </c:marker>
          <c:val>
            <c:numRef>
              <c:f>Gráficas!$O$12:$O$82</c:f>
              <c:numCache>
                <c:formatCode>0.0</c:formatCode>
                <c:ptCount val="71"/>
                <c:pt idx="0">
                  <c:v>76.963296953861857</c:v>
                </c:pt>
                <c:pt idx="1">
                  <c:v>86.33728578297513</c:v>
                </c:pt>
                <c:pt idx="2">
                  <c:v>90.549199984274864</c:v>
                </c:pt>
                <c:pt idx="3">
                  <c:v>97.399911092563499</c:v>
                </c:pt>
                <c:pt idx="4">
                  <c:v>102.88707243536821</c:v>
                </c:pt>
                <c:pt idx="5">
                  <c:v>101.87522113456772</c:v>
                </c:pt>
                <c:pt idx="6">
                  <c:v>100.41520377644918</c:v>
                </c:pt>
                <c:pt idx="7">
                  <c:v>106.32422183312617</c:v>
                </c:pt>
                <c:pt idx="8">
                  <c:v>107.82173756581115</c:v>
                </c:pt>
                <c:pt idx="9">
                  <c:v>107.04213426232529</c:v>
                </c:pt>
                <c:pt idx="10">
                  <c:v>111.38589758710053</c:v>
                </c:pt>
                <c:pt idx="11">
                  <c:v>112.03486139209689</c:v>
                </c:pt>
                <c:pt idx="12">
                  <c:v>116.59605480810808</c:v>
                </c:pt>
                <c:pt idx="13">
                  <c:v>116.45362146600498</c:v>
                </c:pt>
                <c:pt idx="14">
                  <c:v>118.43226553687691</c:v>
                </c:pt>
                <c:pt idx="15">
                  <c:v>126.91597037628408</c:v>
                </c:pt>
                <c:pt idx="16">
                  <c:v>129.00408550839023</c:v>
                </c:pt>
                <c:pt idx="17">
                  <c:v>136.57694273332908</c:v>
                </c:pt>
                <c:pt idx="18">
                  <c:v>134.75252584817389</c:v>
                </c:pt>
                <c:pt idx="19">
                  <c:v>136.04894142693408</c:v>
                </c:pt>
                <c:pt idx="20">
                  <c:v>121.92656971522402</c:v>
                </c:pt>
                <c:pt idx="21">
                  <c:v>122.9574726095542</c:v>
                </c:pt>
                <c:pt idx="22">
                  <c:v>112.39139835672442</c:v>
                </c:pt>
                <c:pt idx="23">
                  <c:v>83.713306782064862</c:v>
                </c:pt>
                <c:pt idx="24">
                  <c:v>71.332795050214543</c:v>
                </c:pt>
                <c:pt idx="25">
                  <c:v>81.990498395734846</c:v>
                </c:pt>
                <c:pt idx="26">
                  <c:v>92.69295786573764</c:v>
                </c:pt>
                <c:pt idx="27">
                  <c:v>98.188888989690952</c:v>
                </c:pt>
                <c:pt idx="28">
                  <c:v>101.23926079817103</c:v>
                </c:pt>
                <c:pt idx="29">
                  <c:v>100</c:v>
                </c:pt>
                <c:pt idx="30">
                  <c:v>99.556067630132958</c:v>
                </c:pt>
                <c:pt idx="31">
                  <c:v>109.51491013998383</c:v>
                </c:pt>
                <c:pt idx="32">
                  <c:v>119.12296140389074</c:v>
                </c:pt>
                <c:pt idx="33">
                  <c:v>121.85308499732368</c:v>
                </c:pt>
                <c:pt idx="34">
                  <c:v>110.15419694509208</c:v>
                </c:pt>
                <c:pt idx="35">
                  <c:v>113.64003374853711</c:v>
                </c:pt>
                <c:pt idx="36">
                  <c:v>123.58012707110477</c:v>
                </c:pt>
                <c:pt idx="37">
                  <c:v>123.09143857675522</c:v>
                </c:pt>
                <c:pt idx="38">
                  <c:v>127.81411692839923</c:v>
                </c:pt>
                <c:pt idx="39">
                  <c:v>128.65964479362287</c:v>
                </c:pt>
                <c:pt idx="40">
                  <c:v>138.56193733537756</c:v>
                </c:pt>
                <c:pt idx="41">
                  <c:v>146.20102152830066</c:v>
                </c:pt>
                <c:pt idx="42">
                  <c:v>151.21068340787645</c:v>
                </c:pt>
                <c:pt idx="43">
                  <c:v>163.62325020185614</c:v>
                </c:pt>
                <c:pt idx="44">
                  <c:v>166.7582957593572</c:v>
                </c:pt>
                <c:pt idx="45">
                  <c:v>174.42036282701451</c:v>
                </c:pt>
                <c:pt idx="46">
                  <c:v>178.61110859105901</c:v>
                </c:pt>
                <c:pt idx="47">
                  <c:v>185.81382057027767</c:v>
                </c:pt>
                <c:pt idx="48">
                  <c:v>186.50542365603098</c:v>
                </c:pt>
                <c:pt idx="49">
                  <c:v>189.18565021879087</c:v>
                </c:pt>
                <c:pt idx="50">
                  <c:v>181.32429743468779</c:v>
                </c:pt>
                <c:pt idx="51">
                  <c:v>187.60406554957797</c:v>
                </c:pt>
                <c:pt idx="52">
                  <c:v>179.39373595700988</c:v>
                </c:pt>
                <c:pt idx="53">
                  <c:v>189.33987740450763</c:v>
                </c:pt>
                <c:pt idx="54">
                  <c:v>196.95174503524541</c:v>
                </c:pt>
                <c:pt idx="55">
                  <c:v>198.49310967367336</c:v>
                </c:pt>
                <c:pt idx="56">
                  <c:v>211.84253101932069</c:v>
                </c:pt>
                <c:pt idx="57">
                  <c:v>218.31946800693109</c:v>
                </c:pt>
                <c:pt idx="58">
                  <c:v>225.63467510984907</c:v>
                </c:pt>
                <c:pt idx="59">
                  <c:v>238.79358052019919</c:v>
                </c:pt>
                <c:pt idx="60">
                  <c:v>247.32325110907482</c:v>
                </c:pt>
                <c:pt idx="61">
                  <c:v>244.09294758392522</c:v>
                </c:pt>
                <c:pt idx="62">
                  <c:v>261.03072145058218</c:v>
                </c:pt>
                <c:pt idx="63">
                  <c:v>241.28268633516888</c:v>
                </c:pt>
                <c:pt idx="64">
                  <c:v>251.69241655855637</c:v>
                </c:pt>
                <c:pt idx="65">
                  <c:v>261.26841276033394</c:v>
                </c:pt>
                <c:pt idx="66">
                  <c:v>268.64500833129205</c:v>
                </c:pt>
                <c:pt idx="67">
                  <c:v>284.54371433496328</c:v>
                </c:pt>
                <c:pt idx="68">
                  <c:v>265.03881384173866</c:v>
                </c:pt>
                <c:pt idx="69">
                  <c:v>273.89024467689399</c:v>
                </c:pt>
                <c:pt idx="70">
                  <c:v>306.47149367517329</c:v>
                </c:pt>
              </c:numCache>
            </c:numRef>
          </c:val>
          <c:smooth val="0"/>
          <c:extLst>
            <c:ext xmlns:c16="http://schemas.microsoft.com/office/drawing/2014/chart" uri="{C3380CC4-5D6E-409C-BE32-E72D297353CC}">
              <c16:uniqueId val="{00000002-7A5D-4F04-A402-AE0AB2745D71}"/>
            </c:ext>
          </c:extLst>
        </c:ser>
        <c:ser>
          <c:idx val="3"/>
          <c:order val="3"/>
          <c:tx>
            <c:v>NASDAQ</c:v>
          </c:tx>
          <c:spPr>
            <a:ln w="9525" cap="rnd">
              <a:solidFill>
                <a:schemeClr val="tx1"/>
              </a:solidFill>
              <a:prstDash val="sysDash"/>
              <a:round/>
            </a:ln>
            <a:effectLst/>
          </c:spPr>
          <c:marker>
            <c:symbol val="none"/>
          </c:marker>
          <c:val>
            <c:numRef>
              <c:f>Gráficas!$P$12:$P$82</c:f>
              <c:numCache>
                <c:formatCode>0.0</c:formatCode>
                <c:ptCount val="71"/>
                <c:pt idx="0">
                  <c:v>57.712402689038797</c:v>
                </c:pt>
                <c:pt idx="1">
                  <c:v>64.982102670993797</c:v>
                </c:pt>
                <c:pt idx="2">
                  <c:v>75.369412930163648</c:v>
                </c:pt>
                <c:pt idx="3">
                  <c:v>82.580097345847975</c:v>
                </c:pt>
                <c:pt idx="4">
                  <c:v>87.052385616947277</c:v>
                </c:pt>
                <c:pt idx="5">
                  <c:v>84.754438816667985</c:v>
                </c:pt>
                <c:pt idx="6">
                  <c:v>79.933612100512406</c:v>
                </c:pt>
                <c:pt idx="7">
                  <c:v>87.605248362503673</c:v>
                </c:pt>
                <c:pt idx="8">
                  <c:v>87.743832612305852</c:v>
                </c:pt>
                <c:pt idx="9">
                  <c:v>85.958743018042355</c:v>
                </c:pt>
                <c:pt idx="10">
                  <c:v>91.779500137072233</c:v>
                </c:pt>
                <c:pt idx="11">
                  <c:v>93.023637080188777</c:v>
                </c:pt>
                <c:pt idx="12">
                  <c:v>97.725662591090398</c:v>
                </c:pt>
                <c:pt idx="13">
                  <c:v>95.462024893942697</c:v>
                </c:pt>
                <c:pt idx="14">
                  <c:v>91.407458965590976</c:v>
                </c:pt>
                <c:pt idx="15">
                  <c:v>101.98898745814553</c:v>
                </c:pt>
                <c:pt idx="16">
                  <c:v>104.3034332485761</c:v>
                </c:pt>
                <c:pt idx="17">
                  <c:v>109.02191427377646</c:v>
                </c:pt>
                <c:pt idx="18">
                  <c:v>111.29790284578205</c:v>
                </c:pt>
                <c:pt idx="19">
                  <c:v>115.48272445195677</c:v>
                </c:pt>
                <c:pt idx="20">
                  <c:v>99.668930897582825</c:v>
                </c:pt>
                <c:pt idx="21">
                  <c:v>103.55641184985154</c:v>
                </c:pt>
                <c:pt idx="22">
                  <c:v>97.805678475323106</c:v>
                </c:pt>
                <c:pt idx="23">
                  <c:v>68.501421891366292</c:v>
                </c:pt>
                <c:pt idx="24">
                  <c:v>63.336840879431222</c:v>
                </c:pt>
                <c:pt idx="25">
                  <c:v>73.994867500802272</c:v>
                </c:pt>
                <c:pt idx="26">
                  <c:v>84.690556697918225</c:v>
                </c:pt>
                <c:pt idx="27">
                  <c:v>92.350844790188006</c:v>
                </c:pt>
                <c:pt idx="28">
                  <c:v>97.373665385968579</c:v>
                </c:pt>
                <c:pt idx="29">
                  <c:v>100</c:v>
                </c:pt>
                <c:pt idx="30">
                  <c:v>95.533582758753894</c:v>
                </c:pt>
                <c:pt idx="31">
                  <c:v>108.28617020880048</c:v>
                </c:pt>
                <c:pt idx="32">
                  <c:v>116.96609816190295</c:v>
                </c:pt>
                <c:pt idx="33">
                  <c:v>118.05413014372421</c:v>
                </c:pt>
                <c:pt idx="34">
                  <c:v>111.29659079010194</c:v>
                </c:pt>
                <c:pt idx="35">
                  <c:v>111.05226399602306</c:v>
                </c:pt>
                <c:pt idx="36">
                  <c:v>124.12938673616367</c:v>
                </c:pt>
                <c:pt idx="37">
                  <c:v>124.95326497907998</c:v>
                </c:pt>
                <c:pt idx="38">
                  <c:v>129.22605531211633</c:v>
                </c:pt>
                <c:pt idx="39">
                  <c:v>128.16291419038205</c:v>
                </c:pt>
                <c:pt idx="40">
                  <c:v>135.62302020434436</c:v>
                </c:pt>
                <c:pt idx="41">
                  <c:v>143.80541439102487</c:v>
                </c:pt>
                <c:pt idx="42">
                  <c:v>155.45678906109421</c:v>
                </c:pt>
                <c:pt idx="43">
                  <c:v>168.95688798945713</c:v>
                </c:pt>
                <c:pt idx="44">
                  <c:v>179.77335777355177</c:v>
                </c:pt>
                <c:pt idx="45">
                  <c:v>179.15004376484032</c:v>
                </c:pt>
                <c:pt idx="46">
                  <c:v>191.40148620009697</c:v>
                </c:pt>
                <c:pt idx="47">
                  <c:v>196.44813936314449</c:v>
                </c:pt>
                <c:pt idx="48">
                  <c:v>206.02627032571613</c:v>
                </c:pt>
                <c:pt idx="49">
                  <c:v>214.77508464082842</c:v>
                </c:pt>
                <c:pt idx="50">
                  <c:v>210.25603321112612</c:v>
                </c:pt>
                <c:pt idx="51">
                  <c:v>213.40752868774274</c:v>
                </c:pt>
                <c:pt idx="52">
                  <c:v>197.01439499740624</c:v>
                </c:pt>
                <c:pt idx="53">
                  <c:v>206.89933667378403</c:v>
                </c:pt>
                <c:pt idx="54">
                  <c:v>220.69815065169456</c:v>
                </c:pt>
                <c:pt idx="55">
                  <c:v>226.71853836616006</c:v>
                </c:pt>
                <c:pt idx="56">
                  <c:v>244.9260757174533</c:v>
                </c:pt>
                <c:pt idx="57">
                  <c:v>260.25954600459033</c:v>
                </c:pt>
                <c:pt idx="58">
                  <c:v>270.83519852090762</c:v>
                </c:pt>
                <c:pt idx="59">
                  <c:v>288.56533668767759</c:v>
                </c:pt>
                <c:pt idx="60">
                  <c:v>309.72050959636402</c:v>
                </c:pt>
                <c:pt idx="61">
                  <c:v>314.07950198602236</c:v>
                </c:pt>
                <c:pt idx="62">
                  <c:v>336.22397771059906</c:v>
                </c:pt>
                <c:pt idx="63">
                  <c:v>308.0666709815896</c:v>
                </c:pt>
                <c:pt idx="64">
                  <c:v>313.55358095209982</c:v>
                </c:pt>
                <c:pt idx="65">
                  <c:v>336.31321504387159</c:v>
                </c:pt>
                <c:pt idx="66">
                  <c:v>344.45976787225277</c:v>
                </c:pt>
                <c:pt idx="67">
                  <c:v>360.60984923029457</c:v>
                </c:pt>
                <c:pt idx="68">
                  <c:v>374.53008449221829</c:v>
                </c:pt>
                <c:pt idx="69">
                  <c:v>388.16213560221468</c:v>
                </c:pt>
                <c:pt idx="70">
                  <c:v>466.54744266263731</c:v>
                </c:pt>
              </c:numCache>
            </c:numRef>
          </c:val>
          <c:smooth val="0"/>
          <c:extLst>
            <c:ext xmlns:c16="http://schemas.microsoft.com/office/drawing/2014/chart" uri="{C3380CC4-5D6E-409C-BE32-E72D297353CC}">
              <c16:uniqueId val="{00000003-7A5D-4F04-A402-AE0AB2745D71}"/>
            </c:ext>
          </c:extLst>
        </c:ser>
        <c:dLbls>
          <c:showLegendKey val="0"/>
          <c:showVal val="0"/>
          <c:showCatName val="0"/>
          <c:showSerName val="0"/>
          <c:showPercent val="0"/>
          <c:showBubbleSize val="0"/>
        </c:dLbls>
        <c:marker val="1"/>
        <c:smooth val="0"/>
        <c:axId val="483665024"/>
        <c:axId val="483668960"/>
      </c:lineChart>
      <c:catAx>
        <c:axId val="53738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90096"/>
        <c:crosses val="autoZero"/>
        <c:auto val="1"/>
        <c:lblAlgn val="ctr"/>
        <c:lblOffset val="100"/>
        <c:tickLblSkip val="2"/>
        <c:tickMarkSkip val="1"/>
        <c:noMultiLvlLbl val="0"/>
      </c:catAx>
      <c:valAx>
        <c:axId val="537390096"/>
        <c:scaling>
          <c:orientation val="minMax"/>
          <c:max val="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500" b="0">
                    <a:solidFill>
                      <a:schemeClr val="tx1"/>
                    </a:solidFill>
                    <a:latin typeface="Times New Roman" panose="02020603050405020304" pitchFamily="18" charset="0"/>
                    <a:cs typeface="Times New Roman" panose="02020603050405020304" pitchFamily="18" charset="0"/>
                  </a:rPr>
                  <a:t>Miles de millones de dólares</a:t>
                </a:r>
              </a:p>
            </c:rich>
          </c:tx>
          <c:layout>
            <c:manualLayout>
              <c:xMode val="edge"/>
              <c:yMode val="edge"/>
              <c:x val="4.5745654162854532E-3"/>
              <c:y val="0.14270890557284988"/>
            </c:manualLayout>
          </c:layout>
          <c:overlay val="0"/>
          <c:spPr>
            <a:noFill/>
            <a:ln>
              <a:noFill/>
            </a:ln>
            <a:effectLst/>
          </c:spPr>
          <c:txPr>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82224"/>
        <c:crosses val="autoZero"/>
        <c:crossBetween val="between"/>
        <c:majorUnit val="1000"/>
      </c:valAx>
      <c:valAx>
        <c:axId val="483668960"/>
        <c:scaling>
          <c:orientation val="minMax"/>
          <c:max val="500"/>
        </c:scaling>
        <c:delete val="0"/>
        <c:axPos val="r"/>
        <c:title>
          <c:tx>
            <c:rich>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500">
                    <a:solidFill>
                      <a:schemeClr val="tx1"/>
                    </a:solidFill>
                    <a:latin typeface="Times New Roman" panose="02020603050405020304" pitchFamily="18" charset="0"/>
                    <a:cs typeface="Times New Roman" panose="02020603050405020304" pitchFamily="18" charset="0"/>
                  </a:rPr>
                  <a:t>Índice 2010:02=100</a:t>
                </a:r>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483665024"/>
        <c:crosses val="max"/>
        <c:crossBetween val="between"/>
        <c:majorUnit val="100"/>
      </c:valAx>
      <c:catAx>
        <c:axId val="483665024"/>
        <c:scaling>
          <c:orientation val="minMax"/>
        </c:scaling>
        <c:delete val="1"/>
        <c:axPos val="b"/>
        <c:majorTickMark val="out"/>
        <c:minorTickMark val="none"/>
        <c:tickLblPos val="nextTo"/>
        <c:crossAx val="483668960"/>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4.3326177320241188E-2"/>
          <c:y val="0.94791333489523377"/>
          <c:w val="0.87588879843816414"/>
          <c:h val="4.6248816751946219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7410053954946"/>
          <c:y val="5.9467682982253342E-2"/>
          <c:w val="0.78607172492761923"/>
          <c:h val="0.71120321691144917"/>
        </c:manualLayout>
      </c:layout>
      <c:barChart>
        <c:barDir val="col"/>
        <c:grouping val="stacked"/>
        <c:varyColors val="0"/>
        <c:ser>
          <c:idx val="2"/>
          <c:order val="2"/>
          <c:spPr>
            <a:solidFill>
              <a:schemeClr val="accent3"/>
            </a:solidFill>
            <a:ln w="63500" cmpd="sng">
              <a:solidFill>
                <a:schemeClr val="bg1">
                  <a:lumMod val="95000"/>
                </a:schemeClr>
              </a:solidFill>
            </a:ln>
            <a:effectLst/>
          </c:spPr>
          <c:invertIfNegative val="0"/>
          <c:cat>
            <c:strRef>
              <c:f>Gráficas!$AC$12:$AC$82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Gráficas!$AA$12:$AA$82</c:f>
              <c:numCache>
                <c:formatCode>General</c:formatCode>
                <c:ptCount val="71"/>
                <c:pt idx="20" formatCode="0">
                  <c:v>5000</c:v>
                </c:pt>
                <c:pt idx="21" formatCode="0">
                  <c:v>5000</c:v>
                </c:pt>
                <c:pt idx="22" formatCode="0">
                  <c:v>5000</c:v>
                </c:pt>
                <c:pt idx="23" formatCode="0">
                  <c:v>5000</c:v>
                </c:pt>
                <c:pt idx="24" formatCode="0">
                  <c:v>5000</c:v>
                </c:pt>
                <c:pt idx="25" formatCode="0">
                  <c:v>5000</c:v>
                </c:pt>
                <c:pt idx="26" formatCode="0">
                  <c:v>5000</c:v>
                </c:pt>
                <c:pt idx="27" formatCode="0">
                  <c:v>5000</c:v>
                </c:pt>
                <c:pt idx="68" formatCode="0">
                  <c:v>5000</c:v>
                </c:pt>
                <c:pt idx="69" formatCode="0">
                  <c:v>5000</c:v>
                </c:pt>
                <c:pt idx="70" formatCode="0">
                  <c:v>5000</c:v>
                </c:pt>
              </c:numCache>
            </c:numRef>
          </c:val>
          <c:extLst>
            <c:ext xmlns:c16="http://schemas.microsoft.com/office/drawing/2014/chart" uri="{C3380CC4-5D6E-409C-BE32-E72D297353CC}">
              <c16:uniqueId val="{00000000-D0D5-4C14-AAE9-644D9F761671}"/>
            </c:ext>
          </c:extLst>
        </c:ser>
        <c:dLbls>
          <c:showLegendKey val="0"/>
          <c:showVal val="0"/>
          <c:showCatName val="0"/>
          <c:showSerName val="0"/>
          <c:showPercent val="0"/>
          <c:showBubbleSize val="0"/>
        </c:dLbls>
        <c:gapWidth val="150"/>
        <c:overlap val="100"/>
        <c:axId val="537382224"/>
        <c:axId val="537390096"/>
      </c:barChart>
      <c:lineChart>
        <c:grouping val="standard"/>
        <c:varyColors val="0"/>
        <c:ser>
          <c:idx val="0"/>
          <c:order val="0"/>
          <c:tx>
            <c:v>Hoja de Balance</c:v>
          </c:tx>
          <c:spPr>
            <a:ln w="9525" cap="rnd">
              <a:solidFill>
                <a:schemeClr val="tx1"/>
              </a:solidFill>
              <a:prstDash val="solid"/>
              <a:round/>
            </a:ln>
            <a:effectLst/>
          </c:spPr>
          <c:marker>
            <c:symbol val="none"/>
          </c:marker>
          <c:cat>
            <c:strRef>
              <c:f>Gráficas!$C$12:$C$82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Gráficas!$Y$12:$Y$82</c:f>
              <c:numCache>
                <c:formatCode>0.0</c:formatCode>
                <c:ptCount val="71"/>
                <c:pt idx="0">
                  <c:v>633.17461538461532</c:v>
                </c:pt>
                <c:pt idx="1">
                  <c:v>648.57730769230773</c:v>
                </c:pt>
                <c:pt idx="2">
                  <c:v>653.70192307692309</c:v>
                </c:pt>
                <c:pt idx="3">
                  <c:v>661.45849999999996</c:v>
                </c:pt>
                <c:pt idx="4">
                  <c:v>670.21299999999997</c:v>
                </c:pt>
                <c:pt idx="5">
                  <c:v>679.93876923076925</c:v>
                </c:pt>
                <c:pt idx="6">
                  <c:v>694.11584615384618</c:v>
                </c:pt>
                <c:pt idx="7">
                  <c:v>710.35638461538463</c:v>
                </c:pt>
                <c:pt idx="8">
                  <c:v>717.71915384615386</c:v>
                </c:pt>
                <c:pt idx="9">
                  <c:v>721.90200000000004</c:v>
                </c:pt>
                <c:pt idx="10">
                  <c:v>728.36115384615391</c:v>
                </c:pt>
                <c:pt idx="11">
                  <c:v>741.79053846153852</c:v>
                </c:pt>
                <c:pt idx="12">
                  <c:v>751.10946153846146</c:v>
                </c:pt>
                <c:pt idx="13">
                  <c:v>761.77084615384615</c:v>
                </c:pt>
                <c:pt idx="14">
                  <c:v>766.29323076923072</c:v>
                </c:pt>
                <c:pt idx="15">
                  <c:v>771.86307692307685</c:v>
                </c:pt>
                <c:pt idx="16">
                  <c:v>779.63915384615382</c:v>
                </c:pt>
                <c:pt idx="17">
                  <c:v>787.93607692307683</c:v>
                </c:pt>
                <c:pt idx="18">
                  <c:v>786.65830769230774</c:v>
                </c:pt>
                <c:pt idx="19">
                  <c:v>776.57038461538457</c:v>
                </c:pt>
                <c:pt idx="20">
                  <c:v>706.29615384615386</c:v>
                </c:pt>
                <c:pt idx="21">
                  <c:v>520.01561538461533</c:v>
                </c:pt>
                <c:pt idx="22">
                  <c:v>479.15761538461538</c:v>
                </c:pt>
                <c:pt idx="23">
                  <c:v>476.36692857142856</c:v>
                </c:pt>
                <c:pt idx="24">
                  <c:v>474.97199999999998</c:v>
                </c:pt>
                <c:pt idx="25">
                  <c:v>573.74507692307691</c:v>
                </c:pt>
                <c:pt idx="26">
                  <c:v>723.56871428571435</c:v>
                </c:pt>
                <c:pt idx="27">
                  <c:v>775.35469230769229</c:v>
                </c:pt>
                <c:pt idx="28">
                  <c:v>776.60761538461543</c:v>
                </c:pt>
                <c:pt idx="29">
                  <c:v>776.83515384615384</c:v>
                </c:pt>
                <c:pt idx="30">
                  <c:v>785.67</c:v>
                </c:pt>
                <c:pt idx="31">
                  <c:v>895.23515384615382</c:v>
                </c:pt>
                <c:pt idx="32">
                  <c:v>1185.9606153846155</c:v>
                </c:pt>
                <c:pt idx="33">
                  <c:v>1488.7136923076923</c:v>
                </c:pt>
                <c:pt idx="34">
                  <c:v>1646.4111538461539</c:v>
                </c:pt>
                <c:pt idx="35">
                  <c:v>1671.4340769230771</c:v>
                </c:pt>
                <c:pt idx="36">
                  <c:v>1660.2432307692306</c:v>
                </c:pt>
                <c:pt idx="37">
                  <c:v>1665.2914615384616</c:v>
                </c:pt>
                <c:pt idx="38">
                  <c:v>1649.8451538461538</c:v>
                </c:pt>
                <c:pt idx="39">
                  <c:v>1653.3123076923077</c:v>
                </c:pt>
                <c:pt idx="40">
                  <c:v>1729.2754615384615</c:v>
                </c:pt>
                <c:pt idx="41">
                  <c:v>1866.1645384615385</c:v>
                </c:pt>
                <c:pt idx="42">
                  <c:v>2002.1516923076922</c:v>
                </c:pt>
                <c:pt idx="43">
                  <c:v>2140.1359230769231</c:v>
                </c:pt>
                <c:pt idx="44">
                  <c:v>2259.9371538461542</c:v>
                </c:pt>
                <c:pt idx="45">
                  <c:v>2360.1083846153847</c:v>
                </c:pt>
                <c:pt idx="46">
                  <c:v>2426.7448461538461</c:v>
                </c:pt>
                <c:pt idx="47">
                  <c:v>2459.7306428571428</c:v>
                </c:pt>
                <c:pt idx="48">
                  <c:v>2460.4234999999999</c:v>
                </c:pt>
                <c:pt idx="49">
                  <c:v>2460.3070769230771</c:v>
                </c:pt>
                <c:pt idx="50">
                  <c:v>2461.6337142857142</c:v>
                </c:pt>
                <c:pt idx="51">
                  <c:v>2461.6993846153846</c:v>
                </c:pt>
                <c:pt idx="52">
                  <c:v>2461.2786153846155</c:v>
                </c:pt>
                <c:pt idx="53">
                  <c:v>2461.7022307692309</c:v>
                </c:pt>
                <c:pt idx="54">
                  <c:v>2463.1501538461539</c:v>
                </c:pt>
                <c:pt idx="55">
                  <c:v>2463.6039999999998</c:v>
                </c:pt>
                <c:pt idx="56">
                  <c:v>2463.6252307692312</c:v>
                </c:pt>
                <c:pt idx="57">
                  <c:v>2464.7405384615386</c:v>
                </c:pt>
                <c:pt idx="58">
                  <c:v>2465.2615384615383</c:v>
                </c:pt>
                <c:pt idx="59">
                  <c:v>2459.2160769230768</c:v>
                </c:pt>
                <c:pt idx="60">
                  <c:v>2434.9145384615385</c:v>
                </c:pt>
                <c:pt idx="61">
                  <c:v>2393.5941538461539</c:v>
                </c:pt>
                <c:pt idx="62">
                  <c:v>2333.8985384615385</c:v>
                </c:pt>
                <c:pt idx="63">
                  <c:v>2265.9145384615385</c:v>
                </c:pt>
                <c:pt idx="64">
                  <c:v>2198.6859230769228</c:v>
                </c:pt>
                <c:pt idx="65">
                  <c:v>2126.5866153846155</c:v>
                </c:pt>
                <c:pt idx="66">
                  <c:v>2093.4524615384616</c:v>
                </c:pt>
                <c:pt idx="67">
                  <c:v>2209.4364615384616</c:v>
                </c:pt>
                <c:pt idx="68">
                  <c:v>2482.342846153846</c:v>
                </c:pt>
                <c:pt idx="69">
                  <c:v>3967.1275384615383</c:v>
                </c:pt>
                <c:pt idx="70">
                  <c:v>4332.2396428571428</c:v>
                </c:pt>
              </c:numCache>
            </c:numRef>
          </c:val>
          <c:smooth val="0"/>
          <c:extLst>
            <c:ext xmlns:c16="http://schemas.microsoft.com/office/drawing/2014/chart" uri="{C3380CC4-5D6E-409C-BE32-E72D297353CC}">
              <c16:uniqueId val="{00000001-D0D5-4C14-AAE9-644D9F761671}"/>
            </c:ext>
          </c:extLst>
        </c:ser>
        <c:dLbls>
          <c:showLegendKey val="0"/>
          <c:showVal val="0"/>
          <c:showCatName val="0"/>
          <c:showSerName val="0"/>
          <c:showPercent val="0"/>
          <c:showBubbleSize val="0"/>
        </c:dLbls>
        <c:marker val="1"/>
        <c:smooth val="0"/>
        <c:axId val="537382224"/>
        <c:axId val="537390096"/>
      </c:lineChart>
      <c:lineChart>
        <c:grouping val="standard"/>
        <c:varyColors val="0"/>
        <c:ser>
          <c:idx val="1"/>
          <c:order val="1"/>
          <c:tx>
            <c:v>Inflación</c:v>
          </c:tx>
          <c:spPr>
            <a:ln w="12700" cap="rnd">
              <a:solidFill>
                <a:schemeClr val="tx1"/>
              </a:solidFill>
              <a:prstDash val="sysDot"/>
              <a:round/>
            </a:ln>
            <a:effectLst/>
          </c:spPr>
          <c:marker>
            <c:symbol val="none"/>
          </c:marker>
          <c:cat>
            <c:strRef>
              <c:f>Gráficas!$AC$12:$AC$82</c:f>
              <c:strCache>
                <c:ptCount val="71"/>
                <c:pt idx="0">
                  <c:v>2003q1</c:v>
                </c:pt>
                <c:pt idx="1">
                  <c:v>2003q2</c:v>
                </c:pt>
                <c:pt idx="2">
                  <c:v>2003q3</c:v>
                </c:pt>
                <c:pt idx="3">
                  <c:v>2003q4</c:v>
                </c:pt>
                <c:pt idx="4">
                  <c:v>2004q1</c:v>
                </c:pt>
                <c:pt idx="5">
                  <c:v>2004q2</c:v>
                </c:pt>
                <c:pt idx="6">
                  <c:v>2004q3</c:v>
                </c:pt>
                <c:pt idx="7">
                  <c:v>2004q4</c:v>
                </c:pt>
                <c:pt idx="8">
                  <c:v>2005q1</c:v>
                </c:pt>
                <c:pt idx="9">
                  <c:v>2005q2</c:v>
                </c:pt>
                <c:pt idx="10">
                  <c:v>2005q3</c:v>
                </c:pt>
                <c:pt idx="11">
                  <c:v>2005q4</c:v>
                </c:pt>
                <c:pt idx="12">
                  <c:v>2006q1</c:v>
                </c:pt>
                <c:pt idx="13">
                  <c:v>2006q2</c:v>
                </c:pt>
                <c:pt idx="14">
                  <c:v>2006q3</c:v>
                </c:pt>
                <c:pt idx="15">
                  <c:v>2006q4</c:v>
                </c:pt>
                <c:pt idx="16">
                  <c:v>2007q1</c:v>
                </c:pt>
                <c:pt idx="17">
                  <c:v>2007q2</c:v>
                </c:pt>
                <c:pt idx="18">
                  <c:v>2007q3</c:v>
                </c:pt>
                <c:pt idx="19">
                  <c:v>2007q4</c:v>
                </c:pt>
                <c:pt idx="20">
                  <c:v>2008q1</c:v>
                </c:pt>
                <c:pt idx="21">
                  <c:v>2008q2</c:v>
                </c:pt>
                <c:pt idx="22">
                  <c:v>2008q3</c:v>
                </c:pt>
                <c:pt idx="23">
                  <c:v>2008q4</c:v>
                </c:pt>
                <c:pt idx="24">
                  <c:v>2009q1</c:v>
                </c:pt>
                <c:pt idx="25">
                  <c:v>2009q2</c:v>
                </c:pt>
                <c:pt idx="26">
                  <c:v>2009q3</c:v>
                </c:pt>
                <c:pt idx="27">
                  <c:v>2009q4</c:v>
                </c:pt>
                <c:pt idx="28">
                  <c:v>2010q1</c:v>
                </c:pt>
                <c:pt idx="29">
                  <c:v>2010q2</c:v>
                </c:pt>
                <c:pt idx="30">
                  <c:v>2010q3</c:v>
                </c:pt>
                <c:pt idx="31">
                  <c:v>2010q4</c:v>
                </c:pt>
                <c:pt idx="32">
                  <c:v>2011q1</c:v>
                </c:pt>
                <c:pt idx="33">
                  <c:v>2011q2</c:v>
                </c:pt>
                <c:pt idx="34">
                  <c:v>2011q3</c:v>
                </c:pt>
                <c:pt idx="35">
                  <c:v>2011q4</c:v>
                </c:pt>
                <c:pt idx="36">
                  <c:v>2012q1</c:v>
                </c:pt>
                <c:pt idx="37">
                  <c:v>2012q2</c:v>
                </c:pt>
                <c:pt idx="38">
                  <c:v>2012q3</c:v>
                </c:pt>
                <c:pt idx="39">
                  <c:v>2012q4</c:v>
                </c:pt>
                <c:pt idx="40">
                  <c:v>2013q1</c:v>
                </c:pt>
                <c:pt idx="41">
                  <c:v>2013q2</c:v>
                </c:pt>
                <c:pt idx="42">
                  <c:v>2013q3</c:v>
                </c:pt>
                <c:pt idx="43">
                  <c:v>2013q4</c:v>
                </c:pt>
                <c:pt idx="44">
                  <c:v>2014q1</c:v>
                </c:pt>
                <c:pt idx="45">
                  <c:v>2014q2</c:v>
                </c:pt>
                <c:pt idx="46">
                  <c:v>2014q3</c:v>
                </c:pt>
                <c:pt idx="47">
                  <c:v>2014q4</c:v>
                </c:pt>
                <c:pt idx="48">
                  <c:v>2015q1</c:v>
                </c:pt>
                <c:pt idx="49">
                  <c:v>2015q2</c:v>
                </c:pt>
                <c:pt idx="50">
                  <c:v>2015q3</c:v>
                </c:pt>
                <c:pt idx="51">
                  <c:v>2015q4</c:v>
                </c:pt>
                <c:pt idx="52">
                  <c:v>2016q1</c:v>
                </c:pt>
                <c:pt idx="53">
                  <c:v>2016q2</c:v>
                </c:pt>
                <c:pt idx="54">
                  <c:v>2016q3</c:v>
                </c:pt>
                <c:pt idx="55">
                  <c:v>2016q4</c:v>
                </c:pt>
                <c:pt idx="56">
                  <c:v>2017q1</c:v>
                </c:pt>
                <c:pt idx="57">
                  <c:v>2017q2</c:v>
                </c:pt>
                <c:pt idx="58">
                  <c:v>2017q3</c:v>
                </c:pt>
                <c:pt idx="59">
                  <c:v>2017q4</c:v>
                </c:pt>
                <c:pt idx="60">
                  <c:v>2018q1</c:v>
                </c:pt>
                <c:pt idx="61">
                  <c:v>2018q2</c:v>
                </c:pt>
                <c:pt idx="62">
                  <c:v>2018q3</c:v>
                </c:pt>
                <c:pt idx="63">
                  <c:v>2018q4</c:v>
                </c:pt>
                <c:pt idx="64">
                  <c:v>2019q1</c:v>
                </c:pt>
                <c:pt idx="65">
                  <c:v>2019q2</c:v>
                </c:pt>
                <c:pt idx="66">
                  <c:v>2019q3</c:v>
                </c:pt>
                <c:pt idx="67">
                  <c:v>2019q4</c:v>
                </c:pt>
                <c:pt idx="68">
                  <c:v>2020q1</c:v>
                </c:pt>
                <c:pt idx="69">
                  <c:v>2020q2</c:v>
                </c:pt>
                <c:pt idx="70">
                  <c:v>2020q3</c:v>
                </c:pt>
              </c:strCache>
            </c:strRef>
          </c:cat>
          <c:val>
            <c:numRef>
              <c:f>Gráficas!$U$12:$U$82</c:f>
              <c:numCache>
                <c:formatCode>0.0</c:formatCode>
                <c:ptCount val="71"/>
                <c:pt idx="0">
                  <c:v>2.866773135569578</c:v>
                </c:pt>
                <c:pt idx="1">
                  <c:v>2.1316109951287521</c:v>
                </c:pt>
                <c:pt idx="2">
                  <c:v>2.1963705428568181</c:v>
                </c:pt>
                <c:pt idx="3">
                  <c:v>1.8951242311393335</c:v>
                </c:pt>
                <c:pt idx="4">
                  <c:v>1.7850618413631114</c:v>
                </c:pt>
                <c:pt idx="5">
                  <c:v>2.8675097846935005</c:v>
                </c:pt>
                <c:pt idx="6">
                  <c:v>2.7271125548730568</c:v>
                </c:pt>
                <c:pt idx="7">
                  <c:v>3.3225006551350189</c:v>
                </c:pt>
                <c:pt idx="8">
                  <c:v>3.0422371691109173</c:v>
                </c:pt>
                <c:pt idx="9">
                  <c:v>2.9463579273591334</c:v>
                </c:pt>
                <c:pt idx="10">
                  <c:v>3.832624990843092</c:v>
                </c:pt>
                <c:pt idx="11">
                  <c:v>3.7399516828310109</c:v>
                </c:pt>
                <c:pt idx="12">
                  <c:v>3.6471063015073746</c:v>
                </c:pt>
                <c:pt idx="13">
                  <c:v>4.0102791048970188</c:v>
                </c:pt>
                <c:pt idx="14">
                  <c:v>3.3356071877557403</c:v>
                </c:pt>
                <c:pt idx="15">
                  <c:v>1.9373264148009772</c:v>
                </c:pt>
                <c:pt idx="16">
                  <c:v>2.4240904254748674</c:v>
                </c:pt>
                <c:pt idx="17">
                  <c:v>2.6506891653579778</c:v>
                </c:pt>
                <c:pt idx="18">
                  <c:v>2.3604607675342448</c:v>
                </c:pt>
                <c:pt idx="19">
                  <c:v>3.9743885325604023</c:v>
                </c:pt>
                <c:pt idx="20">
                  <c:v>4.0954351039920178</c:v>
                </c:pt>
                <c:pt idx="21">
                  <c:v>4.3793895904751468</c:v>
                </c:pt>
                <c:pt idx="22">
                  <c:v>5.3028283557201572</c:v>
                </c:pt>
                <c:pt idx="23">
                  <c:v>1.6016896627952804</c:v>
                </c:pt>
                <c:pt idx="24">
                  <c:v>-4.0240301986638194E-2</c:v>
                </c:pt>
                <c:pt idx="25">
                  <c:v>-1.1504511385487137</c:v>
                </c:pt>
                <c:pt idx="26">
                  <c:v>-1.6233588306576285</c:v>
                </c:pt>
                <c:pt idx="27">
                  <c:v>1.4439242543501374</c:v>
                </c:pt>
                <c:pt idx="28">
                  <c:v>2.3605222903746892</c:v>
                </c:pt>
                <c:pt idx="29">
                  <c:v>1.7677686155196826</c:v>
                </c:pt>
                <c:pt idx="30">
                  <c:v>1.1756028458563383</c:v>
                </c:pt>
                <c:pt idx="31">
                  <c:v>1.2702524857497677</c:v>
                </c:pt>
                <c:pt idx="32">
                  <c:v>2.1411289789719401</c:v>
                </c:pt>
                <c:pt idx="33">
                  <c:v>3.4303935198520819</c:v>
                </c:pt>
                <c:pt idx="34">
                  <c:v>3.7561700665991848</c:v>
                </c:pt>
                <c:pt idx="35">
                  <c:v>3.2937809930912332</c:v>
                </c:pt>
                <c:pt idx="36">
                  <c:v>2.8151887992939439</c:v>
                </c:pt>
                <c:pt idx="37">
                  <c:v>1.8897618266177307</c:v>
                </c:pt>
                <c:pt idx="38">
                  <c:v>1.6977887643939926</c:v>
                </c:pt>
                <c:pt idx="39">
                  <c:v>1.8893628369122784</c:v>
                </c:pt>
                <c:pt idx="40">
                  <c:v>1.681835554111144</c:v>
                </c:pt>
                <c:pt idx="41">
                  <c:v>1.3928649412693783</c:v>
                </c:pt>
                <c:pt idx="42">
                  <c:v>1.5533534737232513</c:v>
                </c:pt>
                <c:pt idx="43">
                  <c:v>1.2334716466028128</c:v>
                </c:pt>
                <c:pt idx="44">
                  <c:v>1.4054532601082803</c:v>
                </c:pt>
                <c:pt idx="45">
                  <c:v>2.0508353917779054</c:v>
                </c:pt>
                <c:pt idx="46">
                  <c:v>1.7831153578255154</c:v>
                </c:pt>
                <c:pt idx="47">
                  <c:v>1.2480262670483855</c:v>
                </c:pt>
                <c:pt idx="48">
                  <c:v>-6.2694407126340224E-2</c:v>
                </c:pt>
                <c:pt idx="49">
                  <c:v>-3.8278122458090813E-2</c:v>
                </c:pt>
                <c:pt idx="50">
                  <c:v>0.10952531727492776</c:v>
                </c:pt>
                <c:pt idx="51">
                  <c:v>0.46623085940593612</c:v>
                </c:pt>
                <c:pt idx="52">
                  <c:v>1.080239437802355</c:v>
                </c:pt>
                <c:pt idx="53">
                  <c:v>1.0470682090147454</c:v>
                </c:pt>
                <c:pt idx="54">
                  <c:v>1.1176268158824998</c:v>
                </c:pt>
                <c:pt idx="55">
                  <c:v>1.8006595991052254</c:v>
                </c:pt>
                <c:pt idx="56">
                  <c:v>2.5393437025114984</c:v>
                </c:pt>
                <c:pt idx="57">
                  <c:v>1.9020033553735383</c:v>
                </c:pt>
                <c:pt idx="58">
                  <c:v>1.9669096492375582</c:v>
                </c:pt>
                <c:pt idx="59">
                  <c:v>2.1175071201863904</c:v>
                </c:pt>
                <c:pt idx="60">
                  <c:v>2.2142355677897907</c:v>
                </c:pt>
                <c:pt idx="61">
                  <c:v>2.711866376517702</c:v>
                </c:pt>
                <c:pt idx="62">
                  <c:v>2.6409612334903798</c:v>
                </c:pt>
                <c:pt idx="63">
                  <c:v>2.20315037817993</c:v>
                </c:pt>
                <c:pt idx="64">
                  <c:v>1.6448975975750013</c:v>
                </c:pt>
                <c:pt idx="65">
                  <c:v>1.8113759045800482</c:v>
                </c:pt>
                <c:pt idx="66">
                  <c:v>1.7575367982211265</c:v>
                </c:pt>
                <c:pt idx="67">
                  <c:v>2.0329423358666388</c:v>
                </c:pt>
                <c:pt idx="68">
                  <c:v>2.1186543929791801</c:v>
                </c:pt>
                <c:pt idx="69">
                  <c:v>0.36433145086156582</c:v>
                </c:pt>
                <c:pt idx="70">
                  <c:v>1.2223538832248027</c:v>
                </c:pt>
              </c:numCache>
            </c:numRef>
          </c:val>
          <c:smooth val="0"/>
          <c:extLst>
            <c:ext xmlns:c16="http://schemas.microsoft.com/office/drawing/2014/chart" uri="{C3380CC4-5D6E-409C-BE32-E72D297353CC}">
              <c16:uniqueId val="{00000002-D0D5-4C14-AAE9-644D9F761671}"/>
            </c:ext>
          </c:extLst>
        </c:ser>
        <c:ser>
          <c:idx val="3"/>
          <c:order val="3"/>
          <c:tx>
            <c:v>Tasa de interés</c:v>
          </c:tx>
          <c:spPr>
            <a:ln w="9525" cap="rnd">
              <a:solidFill>
                <a:schemeClr val="tx1"/>
              </a:solidFill>
              <a:prstDash val="sysDash"/>
              <a:round/>
            </a:ln>
            <a:effectLst/>
          </c:spPr>
          <c:marker>
            <c:symbol val="none"/>
          </c:marker>
          <c:val>
            <c:numRef>
              <c:f>Gráficas!$W$12:$W$82</c:f>
              <c:numCache>
                <c:formatCode>0.0</c:formatCode>
                <c:ptCount val="71"/>
                <c:pt idx="0">
                  <c:v>1.1566666666666667</c:v>
                </c:pt>
                <c:pt idx="1">
                  <c:v>1.04</c:v>
                </c:pt>
                <c:pt idx="2">
                  <c:v>0.93</c:v>
                </c:pt>
                <c:pt idx="3">
                  <c:v>0.91666666666666663</c:v>
                </c:pt>
                <c:pt idx="4">
                  <c:v>0.91666666666666663</c:v>
                </c:pt>
                <c:pt idx="5">
                  <c:v>1.0766666666666667</c:v>
                </c:pt>
                <c:pt idx="6">
                  <c:v>1.4866666666666668</c:v>
                </c:pt>
                <c:pt idx="7">
                  <c:v>2.0066666666666668</c:v>
                </c:pt>
                <c:pt idx="8">
                  <c:v>2.5366666666666666</c:v>
                </c:pt>
                <c:pt idx="9">
                  <c:v>2.8633333333333333</c:v>
                </c:pt>
                <c:pt idx="10">
                  <c:v>3.36</c:v>
                </c:pt>
                <c:pt idx="11">
                  <c:v>3.8266666666666667</c:v>
                </c:pt>
                <c:pt idx="12">
                  <c:v>4.3933333333333335</c:v>
                </c:pt>
                <c:pt idx="13">
                  <c:v>4.7033333333333331</c:v>
                </c:pt>
                <c:pt idx="14">
                  <c:v>4.9066666666666663</c:v>
                </c:pt>
                <c:pt idx="15">
                  <c:v>4.9033333333333333</c:v>
                </c:pt>
                <c:pt idx="16">
                  <c:v>4.9833333333333334</c:v>
                </c:pt>
                <c:pt idx="17">
                  <c:v>4.7366666666666664</c:v>
                </c:pt>
                <c:pt idx="18">
                  <c:v>4.3033333333333337</c:v>
                </c:pt>
                <c:pt idx="19">
                  <c:v>3.39</c:v>
                </c:pt>
                <c:pt idx="20">
                  <c:v>2.0433333333333334</c:v>
                </c:pt>
                <c:pt idx="21">
                  <c:v>1.6266666666666667</c:v>
                </c:pt>
                <c:pt idx="22">
                  <c:v>1.4933333333333334</c:v>
                </c:pt>
                <c:pt idx="23">
                  <c:v>0.29666666666666669</c:v>
                </c:pt>
                <c:pt idx="24">
                  <c:v>0.21333333333333335</c:v>
                </c:pt>
                <c:pt idx="25">
                  <c:v>0.17333333333333334</c:v>
                </c:pt>
                <c:pt idx="26">
                  <c:v>0.15666666666666668</c:v>
                </c:pt>
                <c:pt idx="27">
                  <c:v>5.6666666666666664E-2</c:v>
                </c:pt>
                <c:pt idx="28">
                  <c:v>0.10666666666666667</c:v>
                </c:pt>
                <c:pt idx="29">
                  <c:v>0.14666666666666667</c:v>
                </c:pt>
                <c:pt idx="30">
                  <c:v>0.15666666666666668</c:v>
                </c:pt>
                <c:pt idx="31">
                  <c:v>0.13666666666666666</c:v>
                </c:pt>
                <c:pt idx="32">
                  <c:v>0.12666666666666668</c:v>
                </c:pt>
                <c:pt idx="33">
                  <c:v>4.6666666666666669E-2</c:v>
                </c:pt>
                <c:pt idx="34">
                  <c:v>2.3333333333333334E-2</c:v>
                </c:pt>
                <c:pt idx="35">
                  <c:v>1.3333333333333334E-2</c:v>
                </c:pt>
                <c:pt idx="36">
                  <c:v>6.6666666666666666E-2</c:v>
                </c:pt>
                <c:pt idx="37">
                  <c:v>8.666666666666667E-2</c:v>
                </c:pt>
                <c:pt idx="38">
                  <c:v>0.10333333333333333</c:v>
                </c:pt>
                <c:pt idx="39">
                  <c:v>8.666666666666667E-2</c:v>
                </c:pt>
                <c:pt idx="40">
                  <c:v>8.666666666666667E-2</c:v>
                </c:pt>
                <c:pt idx="41">
                  <c:v>0.05</c:v>
                </c:pt>
                <c:pt idx="42">
                  <c:v>3.3333333333333333E-2</c:v>
                </c:pt>
                <c:pt idx="43">
                  <c:v>6.3333333333333339E-2</c:v>
                </c:pt>
                <c:pt idx="44">
                  <c:v>4.6666666666666669E-2</c:v>
                </c:pt>
                <c:pt idx="45">
                  <c:v>3.3333333333333333E-2</c:v>
                </c:pt>
                <c:pt idx="46">
                  <c:v>2.6666666666666668E-2</c:v>
                </c:pt>
                <c:pt idx="47">
                  <c:v>2.3333333333333334E-2</c:v>
                </c:pt>
                <c:pt idx="48">
                  <c:v>2.6666666666666668E-2</c:v>
                </c:pt>
                <c:pt idx="49">
                  <c:v>0.02</c:v>
                </c:pt>
                <c:pt idx="50">
                  <c:v>0.04</c:v>
                </c:pt>
                <c:pt idx="51">
                  <c:v>0.12333333333333334</c:v>
                </c:pt>
                <c:pt idx="52">
                  <c:v>0.28666666666666668</c:v>
                </c:pt>
                <c:pt idx="53">
                  <c:v>0.25666666666666665</c:v>
                </c:pt>
                <c:pt idx="54">
                  <c:v>0.29666666666666669</c:v>
                </c:pt>
                <c:pt idx="55">
                  <c:v>0.43</c:v>
                </c:pt>
                <c:pt idx="56">
                  <c:v>0.59</c:v>
                </c:pt>
                <c:pt idx="57">
                  <c:v>0.89</c:v>
                </c:pt>
                <c:pt idx="58">
                  <c:v>1.0366666666666666</c:v>
                </c:pt>
                <c:pt idx="59">
                  <c:v>1.2066666666666668</c:v>
                </c:pt>
                <c:pt idx="60">
                  <c:v>1.56</c:v>
                </c:pt>
                <c:pt idx="61">
                  <c:v>1.84</c:v>
                </c:pt>
                <c:pt idx="62">
                  <c:v>2.04</c:v>
                </c:pt>
                <c:pt idx="63">
                  <c:v>2.3166666666666669</c:v>
                </c:pt>
                <c:pt idx="64">
                  <c:v>2.3866666666666667</c:v>
                </c:pt>
                <c:pt idx="65">
                  <c:v>2.2999999999999998</c:v>
                </c:pt>
                <c:pt idx="66">
                  <c:v>1.98</c:v>
                </c:pt>
                <c:pt idx="67">
                  <c:v>1.5766666666666667</c:v>
                </c:pt>
                <c:pt idx="68">
                  <c:v>1.1100000000000001</c:v>
                </c:pt>
                <c:pt idx="69">
                  <c:v>0.14333333333333334</c:v>
                </c:pt>
                <c:pt idx="70">
                  <c:v>0.11333333333333333</c:v>
                </c:pt>
              </c:numCache>
            </c:numRef>
          </c:val>
          <c:smooth val="0"/>
          <c:extLst>
            <c:ext xmlns:c16="http://schemas.microsoft.com/office/drawing/2014/chart" uri="{C3380CC4-5D6E-409C-BE32-E72D297353CC}">
              <c16:uniqueId val="{00000003-D0D5-4C14-AAE9-644D9F761671}"/>
            </c:ext>
          </c:extLst>
        </c:ser>
        <c:dLbls>
          <c:showLegendKey val="0"/>
          <c:showVal val="0"/>
          <c:showCatName val="0"/>
          <c:showSerName val="0"/>
          <c:showPercent val="0"/>
          <c:showBubbleSize val="0"/>
        </c:dLbls>
        <c:marker val="1"/>
        <c:smooth val="0"/>
        <c:axId val="483665024"/>
        <c:axId val="483668960"/>
      </c:lineChart>
      <c:catAx>
        <c:axId val="53738222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90096"/>
        <c:crosses val="autoZero"/>
        <c:auto val="1"/>
        <c:lblAlgn val="ctr"/>
        <c:lblOffset val="100"/>
        <c:tickLblSkip val="2"/>
        <c:tickMarkSkip val="1"/>
        <c:noMultiLvlLbl val="0"/>
      </c:catAx>
      <c:valAx>
        <c:axId val="537390096"/>
        <c:scaling>
          <c:orientation val="minMax"/>
          <c:max val="5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500" b="0">
                    <a:solidFill>
                      <a:schemeClr val="tx1"/>
                    </a:solidFill>
                    <a:latin typeface="Times New Roman" panose="02020603050405020304" pitchFamily="18" charset="0"/>
                    <a:cs typeface="Times New Roman" panose="02020603050405020304" pitchFamily="18" charset="0"/>
                  </a:rPr>
                  <a:t>Miles de millones de dólares</a:t>
                </a:r>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537382224"/>
        <c:crosses val="autoZero"/>
        <c:crossBetween val="between"/>
        <c:majorUnit val="1000"/>
      </c:valAx>
      <c:valAx>
        <c:axId val="483668960"/>
        <c:scaling>
          <c:orientation val="minMax"/>
          <c:max val="6"/>
          <c:min val="-4"/>
        </c:scaling>
        <c:delete val="0"/>
        <c:axPos val="r"/>
        <c:title>
          <c:tx>
            <c:rich>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s-MX" sz="500">
                    <a:solidFill>
                      <a:schemeClr val="tx1"/>
                    </a:solidFill>
                    <a:latin typeface="Times New Roman" panose="02020603050405020304" pitchFamily="18" charset="0"/>
                    <a:cs typeface="Times New Roman" panose="02020603050405020304" pitchFamily="18" charset="0"/>
                  </a:rPr>
                  <a:t>%</a:t>
                </a:r>
              </a:p>
            </c:rich>
          </c:tx>
          <c:overlay val="0"/>
          <c:spPr>
            <a:noFill/>
            <a:ln>
              <a:noFill/>
            </a:ln>
            <a:effectLst/>
          </c:spPr>
          <c:txPr>
            <a:bodyPr rot="-54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crossAx val="483665024"/>
        <c:crosses val="max"/>
        <c:crossBetween val="between"/>
        <c:majorUnit val="2"/>
      </c:valAx>
      <c:catAx>
        <c:axId val="483665024"/>
        <c:scaling>
          <c:orientation val="minMax"/>
        </c:scaling>
        <c:delete val="1"/>
        <c:axPos val="b"/>
        <c:numFmt formatCode="General" sourceLinked="1"/>
        <c:majorTickMark val="out"/>
        <c:minorTickMark val="none"/>
        <c:tickLblPos val="nextTo"/>
        <c:crossAx val="483668960"/>
        <c:crosses val="autoZero"/>
        <c:auto val="1"/>
        <c:lblAlgn val="ctr"/>
        <c:lblOffset val="100"/>
        <c:noMultiLvlLbl val="0"/>
      </c:catAx>
      <c:spPr>
        <a:noFill/>
        <a:ln>
          <a:noFill/>
        </a:ln>
        <a:effectLst/>
      </c:spPr>
    </c:plotArea>
    <c:legend>
      <c:legendPos val="b"/>
      <c:legendEntry>
        <c:idx val="0"/>
        <c:delete val="1"/>
      </c:legendEntry>
      <c:layout>
        <c:manualLayout>
          <c:xMode val="edge"/>
          <c:yMode val="edge"/>
          <c:x val="6.1081780331991402E-2"/>
          <c:y val="0.9485362846870482"/>
          <c:w val="0.852361661189038"/>
          <c:h val="4.7513438245381949E-2"/>
        </c:manualLayout>
      </c:layout>
      <c:overlay val="0"/>
      <c:spPr>
        <a:noFill/>
        <a:ln>
          <a:noFill/>
        </a:ln>
        <a:effectLst/>
      </c:spPr>
      <c:txPr>
        <a:bodyPr rot="0" spcFirstLastPara="1" vertOverflow="ellipsis" vert="horz" wrap="square" anchor="ctr" anchorCtr="1"/>
        <a:lstStyle/>
        <a:p>
          <a:pPr>
            <a:defRPr sz="5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FC77-B19A-4A3E-8E22-A54666DEF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7449</Words>
  <Characters>38961</Characters>
  <Application>Microsoft Office Word</Application>
  <DocSecurity>0</DocSecurity>
  <Lines>885</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 Díaz</dc:creator>
  <cp:keywords/>
  <dc:description/>
  <cp:lastModifiedBy>usuario</cp:lastModifiedBy>
  <cp:revision>2</cp:revision>
  <dcterms:created xsi:type="dcterms:W3CDTF">2021-04-27T20:30:00Z</dcterms:created>
  <dcterms:modified xsi:type="dcterms:W3CDTF">2021-04-27T20:30:00Z</dcterms:modified>
</cp:coreProperties>
</file>